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3C09" w14:textId="77777777" w:rsidR="00AD3182" w:rsidRDefault="00AD3182">
      <w:pPr>
        <w:autoSpaceDE w:val="0"/>
        <w:autoSpaceDN w:val="0"/>
        <w:adjustRightInd w:val="0"/>
        <w:rPr>
          <w:rFonts w:eastAsiaTheme="minorHAnsi"/>
          <w:color w:val="000000"/>
        </w:rPr>
      </w:pPr>
      <w:bookmarkStart w:id="0" w:name="_Hlk536476441"/>
    </w:p>
    <w:p w14:paraId="6854611C" w14:textId="3474B401" w:rsidR="00411F9B" w:rsidRDefault="00411F9B" w:rsidP="00411F9B">
      <w:pPr>
        <w:rPr>
          <w:rFonts w:eastAsiaTheme="minorHAnsi"/>
          <w:b/>
          <w:sz w:val="28"/>
          <w:szCs w:val="28"/>
          <w:lang w:val="en"/>
        </w:rPr>
      </w:pPr>
      <w:bookmarkStart w:id="1" w:name="_Hlk536476494"/>
      <w:bookmarkEnd w:id="0"/>
      <w:r>
        <w:rPr>
          <w:rFonts w:eastAsiaTheme="minorHAnsi"/>
          <w:b/>
          <w:sz w:val="28"/>
          <w:szCs w:val="28"/>
          <w:lang w:val="en"/>
        </w:rPr>
        <w:t xml:space="preserve">Mechanism of aurora arc </w:t>
      </w:r>
      <w:r w:rsidR="00760428">
        <w:rPr>
          <w:rFonts w:eastAsiaTheme="minorHAnsi"/>
          <w:b/>
          <w:sz w:val="28"/>
          <w:szCs w:val="28"/>
          <w:lang w:val="en"/>
        </w:rPr>
        <w:t>formation</w:t>
      </w:r>
      <w:r w:rsidRPr="00C545A2">
        <w:rPr>
          <w:rFonts w:eastAsiaTheme="minorHAnsi"/>
          <w:b/>
          <w:sz w:val="28"/>
          <w:szCs w:val="28"/>
          <w:lang w:val="en"/>
        </w:rPr>
        <w:t xml:space="preserve"> </w:t>
      </w:r>
      <w:r>
        <w:rPr>
          <w:rFonts w:eastAsiaTheme="minorHAnsi"/>
          <w:b/>
          <w:sz w:val="28"/>
          <w:szCs w:val="28"/>
          <w:lang w:val="en"/>
        </w:rPr>
        <w:t xml:space="preserve">due to cold plasma penetration in the region of field-aligned potential drop </w:t>
      </w:r>
    </w:p>
    <w:p w14:paraId="06C332CA" w14:textId="77777777" w:rsidR="00AD3182" w:rsidRDefault="00AD3182">
      <w:pPr>
        <w:rPr>
          <w:rFonts w:eastAsiaTheme="minorHAnsi"/>
          <w:b/>
          <w:color w:val="000000"/>
          <w:sz w:val="28"/>
          <w:szCs w:val="28"/>
          <w:lang w:val="en"/>
        </w:rPr>
      </w:pPr>
    </w:p>
    <w:p w14:paraId="1646B755" w14:textId="77777777" w:rsidR="00411F9B" w:rsidRDefault="00411F9B" w:rsidP="00411F9B">
      <w:pPr>
        <w:rPr>
          <w:rFonts w:eastAsiaTheme="minorHAnsi"/>
          <w:color w:val="000000"/>
          <w:lang w:val="en-US"/>
        </w:rPr>
      </w:pPr>
      <w:r>
        <w:rPr>
          <w:lang w:val="en-US"/>
        </w:rPr>
        <w:t>E.E. Antonova</w:t>
      </w:r>
      <w:r>
        <w:rPr>
          <w:vertAlign w:val="superscript"/>
          <w:lang w:val="en-US"/>
        </w:rPr>
        <w:t>1,2</w:t>
      </w:r>
      <w:r>
        <w:rPr>
          <w:lang w:val="en-US"/>
        </w:rPr>
        <w:t>, M.V. Stepanova</w:t>
      </w:r>
      <w:r w:rsidRPr="006016B5">
        <w:rPr>
          <w:vertAlign w:val="superscript"/>
          <w:lang w:val="en"/>
        </w:rPr>
        <w:t>3</w:t>
      </w:r>
      <w:r>
        <w:rPr>
          <w:lang w:val="en-US"/>
        </w:rPr>
        <w:t xml:space="preserve">, V.G. </w:t>
      </w:r>
      <w:proofErr w:type="spellStart"/>
      <w:r>
        <w:rPr>
          <w:lang w:val="en-US"/>
        </w:rPr>
        <w:t>Vorobjev</w:t>
      </w:r>
      <w:proofErr w:type="spellEnd"/>
      <w:r w:rsidRPr="006016B5">
        <w:rPr>
          <w:vertAlign w:val="superscript"/>
          <w:lang w:val="en"/>
        </w:rPr>
        <w:t>4</w:t>
      </w:r>
      <w:r>
        <w:rPr>
          <w:lang w:val="en-US"/>
        </w:rPr>
        <w:t xml:space="preserve">, O.I. </w:t>
      </w:r>
      <w:proofErr w:type="spellStart"/>
      <w:r>
        <w:rPr>
          <w:lang w:val="en-US"/>
        </w:rPr>
        <w:t>Yagodkina</w:t>
      </w:r>
      <w:proofErr w:type="spellEnd"/>
      <w:r w:rsidRPr="008817C5">
        <w:rPr>
          <w:vertAlign w:val="superscript"/>
          <w:lang w:val="en"/>
        </w:rPr>
        <w:t>4</w:t>
      </w:r>
      <w:r>
        <w:rPr>
          <w:lang w:val="en-US"/>
        </w:rPr>
        <w:t>, I.P. Kirpichev</w:t>
      </w:r>
      <w:r>
        <w:rPr>
          <w:vertAlign w:val="superscript"/>
          <w:lang w:val="en-US"/>
        </w:rPr>
        <w:t>2</w:t>
      </w:r>
      <w:r>
        <w:rPr>
          <w:lang w:val="en-US"/>
        </w:rPr>
        <w:t>, I.L. Ovchinnikov</w:t>
      </w:r>
      <w:r>
        <w:rPr>
          <w:vertAlign w:val="superscript"/>
          <w:lang w:val="en-US"/>
        </w:rPr>
        <w:t>1</w:t>
      </w:r>
      <w:r>
        <w:rPr>
          <w:lang w:val="en-US"/>
        </w:rPr>
        <w:t xml:space="preserve">, </w:t>
      </w:r>
      <w:r w:rsidRPr="008817C5">
        <w:rPr>
          <w:lang w:val="en-US"/>
        </w:rPr>
        <w:t>G.I. Antonyuk</w:t>
      </w:r>
      <w:r w:rsidRPr="008817C5">
        <w:rPr>
          <w:vertAlign w:val="superscript"/>
          <w:lang w:val="en-US"/>
        </w:rPr>
        <w:t>1</w:t>
      </w:r>
    </w:p>
    <w:p w14:paraId="42A6953A" w14:textId="77777777" w:rsidR="00AD3182" w:rsidRDefault="00000000">
      <w:pPr>
        <w:rPr>
          <w:lang w:val="en-US"/>
        </w:rPr>
      </w:pPr>
      <w:r>
        <w:rPr>
          <w:rFonts w:eastAsiaTheme="minorHAnsi"/>
          <w:color w:val="000000"/>
          <w:lang w:val="en-US"/>
        </w:rPr>
        <w:t xml:space="preserve"> </w:t>
      </w:r>
      <w:bookmarkEnd w:id="1"/>
    </w:p>
    <w:p w14:paraId="37F912D3" w14:textId="77777777" w:rsidR="00411F9B" w:rsidRDefault="00411F9B" w:rsidP="00411F9B">
      <w:pPr>
        <w:pStyle w:val="Default"/>
        <w:rPr>
          <w:i/>
          <w:sz w:val="20"/>
          <w:szCs w:val="20"/>
          <w:lang w:val="en-US"/>
        </w:rPr>
      </w:pPr>
      <w:r>
        <w:rPr>
          <w:i/>
          <w:sz w:val="20"/>
          <w:szCs w:val="20"/>
          <w:vertAlign w:val="superscript"/>
          <w:lang w:val="en-US"/>
        </w:rPr>
        <w:t>1</w:t>
      </w:r>
      <w:r>
        <w:rPr>
          <w:i/>
          <w:sz w:val="20"/>
          <w:szCs w:val="20"/>
          <w:lang w:val="en-US"/>
        </w:rPr>
        <w:t xml:space="preserve">Skobeltsyn Institute of Nuclear Physics, Moscow State University, Moscow, 119991, Russia, </w:t>
      </w:r>
    </w:p>
    <w:p w14:paraId="695401E4" w14:textId="77777777" w:rsidR="00411F9B" w:rsidRDefault="00411F9B" w:rsidP="00411F9B">
      <w:pPr>
        <w:pStyle w:val="Default"/>
        <w:rPr>
          <w:i/>
          <w:sz w:val="20"/>
          <w:szCs w:val="20"/>
          <w:lang w:val="en-US"/>
        </w:rPr>
      </w:pPr>
      <w:r>
        <w:rPr>
          <w:i/>
          <w:iCs/>
          <w:sz w:val="20"/>
          <w:szCs w:val="20"/>
          <w:lang w:val="en-US"/>
        </w:rPr>
        <w:t xml:space="preserve">e-mail: elizaveta.antonova@gmail.com </w:t>
      </w:r>
    </w:p>
    <w:p w14:paraId="56D96E7B" w14:textId="77777777" w:rsidR="00411F9B" w:rsidRDefault="00411F9B" w:rsidP="00411F9B">
      <w:pPr>
        <w:pStyle w:val="Default"/>
        <w:rPr>
          <w:i/>
          <w:sz w:val="20"/>
          <w:szCs w:val="20"/>
          <w:lang w:val="en-US"/>
        </w:rPr>
      </w:pPr>
      <w:r>
        <w:rPr>
          <w:i/>
          <w:sz w:val="20"/>
          <w:szCs w:val="20"/>
          <w:vertAlign w:val="superscript"/>
          <w:lang w:val="en-US"/>
        </w:rPr>
        <w:t>2</w:t>
      </w:r>
      <w:r>
        <w:rPr>
          <w:i/>
          <w:sz w:val="20"/>
          <w:szCs w:val="20"/>
          <w:lang w:val="en-US"/>
        </w:rPr>
        <w:t xml:space="preserve">Space Research Institute (IKI) Russian Academy of Science, Moscow, Russia </w:t>
      </w:r>
    </w:p>
    <w:p w14:paraId="6E7038AD" w14:textId="77777777" w:rsidR="00411F9B" w:rsidRDefault="00411F9B" w:rsidP="00411F9B">
      <w:pPr>
        <w:pStyle w:val="Default"/>
        <w:rPr>
          <w:i/>
          <w:iCs/>
          <w:sz w:val="20"/>
          <w:szCs w:val="20"/>
          <w:lang w:val="en-US"/>
        </w:rPr>
      </w:pPr>
      <w:r>
        <w:rPr>
          <w:i/>
          <w:sz w:val="20"/>
          <w:szCs w:val="20"/>
          <w:vertAlign w:val="superscript"/>
          <w:lang w:val="en-US"/>
        </w:rPr>
        <w:t>3</w:t>
      </w:r>
      <w:r>
        <w:rPr>
          <w:i/>
          <w:iCs/>
          <w:sz w:val="20"/>
          <w:szCs w:val="20"/>
          <w:lang w:val="en-US"/>
        </w:rPr>
        <w:t xml:space="preserve">Department of Physics, University of Santiago de Chile, Santiago, Chile </w:t>
      </w:r>
    </w:p>
    <w:p w14:paraId="623B3670" w14:textId="77777777" w:rsidR="00411F9B" w:rsidRDefault="00411F9B" w:rsidP="00411F9B">
      <w:pPr>
        <w:pStyle w:val="Default"/>
        <w:rPr>
          <w:i/>
          <w:sz w:val="20"/>
          <w:szCs w:val="20"/>
          <w:lang w:val="en-US"/>
        </w:rPr>
      </w:pPr>
      <w:r>
        <w:rPr>
          <w:i/>
          <w:sz w:val="20"/>
          <w:szCs w:val="20"/>
          <w:vertAlign w:val="superscript"/>
          <w:lang w:val="en-US"/>
        </w:rPr>
        <w:t>4</w:t>
      </w:r>
      <w:r>
        <w:rPr>
          <w:i/>
          <w:sz w:val="20"/>
          <w:szCs w:val="20"/>
          <w:lang w:val="en-US"/>
        </w:rPr>
        <w:t>Polar Geophysical Institute</w:t>
      </w:r>
      <w:r>
        <w:rPr>
          <w:i/>
          <w:iCs/>
          <w:sz w:val="20"/>
          <w:szCs w:val="20"/>
          <w:lang w:val="en-US"/>
        </w:rPr>
        <w:t xml:space="preserve">, </w:t>
      </w:r>
      <w:proofErr w:type="spellStart"/>
      <w:r>
        <w:rPr>
          <w:i/>
          <w:iCs/>
          <w:sz w:val="20"/>
          <w:szCs w:val="20"/>
          <w:lang w:val="en-US"/>
        </w:rPr>
        <w:t>Apatity</w:t>
      </w:r>
      <w:proofErr w:type="spellEnd"/>
      <w:r>
        <w:rPr>
          <w:i/>
          <w:iCs/>
          <w:sz w:val="20"/>
          <w:szCs w:val="20"/>
          <w:lang w:val="en-US"/>
        </w:rPr>
        <w:t xml:space="preserve">, Russia </w:t>
      </w:r>
    </w:p>
    <w:p w14:paraId="00727DB4" w14:textId="77777777" w:rsidR="00AD3182" w:rsidRDefault="00AD3182">
      <w:pPr>
        <w:rPr>
          <w:b/>
          <w:sz w:val="20"/>
          <w:szCs w:val="20"/>
          <w:lang w:val="en-US"/>
        </w:rPr>
      </w:pPr>
    </w:p>
    <w:p w14:paraId="434D181D" w14:textId="77777777" w:rsidR="00AD3182" w:rsidRDefault="00000000">
      <w:pPr>
        <w:jc w:val="both"/>
        <w:rPr>
          <w:b/>
          <w:color w:val="000000"/>
          <w:sz w:val="20"/>
          <w:szCs w:val="20"/>
          <w:lang w:val="en-US"/>
        </w:rPr>
      </w:pPr>
      <w:r>
        <w:rPr>
          <w:b/>
          <w:color w:val="000000"/>
          <w:sz w:val="20"/>
          <w:szCs w:val="20"/>
          <w:lang w:val="en-US"/>
        </w:rPr>
        <w:t xml:space="preserve">Abstract </w:t>
      </w:r>
    </w:p>
    <w:p w14:paraId="34B0E2EF" w14:textId="77777777" w:rsidR="006964DE" w:rsidRPr="006964DE" w:rsidRDefault="006964DE" w:rsidP="006964DE">
      <w:pPr>
        <w:jc w:val="both"/>
        <w:rPr>
          <w:sz w:val="20"/>
          <w:szCs w:val="20"/>
          <w:lang w:val="en-US"/>
        </w:rPr>
      </w:pPr>
      <w:r w:rsidRPr="006964DE">
        <w:rPr>
          <w:sz w:val="20"/>
          <w:szCs w:val="20"/>
          <w:lang w:val="en"/>
        </w:rPr>
        <w:t>Questions regarding the mechanisms behind the formation of discrete auroral arcs and their brightening during substorms—as well as the nature of auroral activity itself—have long been the subject of active debate and represent a point of contention between the two primary approaches to describing magnetospheric processes. For quite some time, theories have been developed linking magnetospheric substorms and storms to processes in the Earth's magnetotail, whereby energy is transported from the tail into the inner magnetosphere, giving rise to discrete auroras at ionospheric altitudes.</w:t>
      </w:r>
      <w:r>
        <w:rPr>
          <w:sz w:val="20"/>
          <w:szCs w:val="20"/>
          <w:lang w:val="en"/>
        </w:rPr>
        <w:t xml:space="preserve"> </w:t>
      </w:r>
      <w:r w:rsidRPr="006964DE">
        <w:rPr>
          <w:sz w:val="20"/>
          <w:szCs w:val="20"/>
          <w:lang w:val="en"/>
        </w:rPr>
        <w:t>A synthesis of results—which has led to a revision of views in favor of alternative concepts regarding the role of processes within the magnetosphere and the penetration of the interplanetary magnetic field (IMF) into it—highlights the mechanism behind the formation and brightening of discrete auroral arcs as a key factor determining magnetospheric dynamics. Recent research findings that help clarify the nature of discrete auroral arcs are briefly summarized.</w:t>
      </w:r>
    </w:p>
    <w:p w14:paraId="0703C705" w14:textId="77777777" w:rsidR="00AD3182" w:rsidRDefault="00AD3182">
      <w:pPr>
        <w:rPr>
          <w:sz w:val="20"/>
          <w:szCs w:val="20"/>
          <w:lang w:val="en-US"/>
        </w:rPr>
      </w:pPr>
    </w:p>
    <w:p w14:paraId="24E82193" w14:textId="77777777" w:rsidR="00AD3182" w:rsidRDefault="00000000">
      <w:pPr>
        <w:jc w:val="both"/>
        <w:rPr>
          <w:b/>
          <w:color w:val="000000" w:themeColor="text1"/>
          <w:sz w:val="20"/>
          <w:szCs w:val="20"/>
          <w:lang w:val="en-US"/>
        </w:rPr>
      </w:pPr>
      <w:r>
        <w:rPr>
          <w:b/>
          <w:color w:val="000000" w:themeColor="text1"/>
          <w:sz w:val="20"/>
          <w:szCs w:val="20"/>
          <w:lang w:val="en-US"/>
        </w:rPr>
        <w:t>1. Introduction</w:t>
      </w:r>
    </w:p>
    <w:p w14:paraId="605DAA7F" w14:textId="77777777" w:rsidR="006964DE" w:rsidRDefault="006964DE" w:rsidP="006964DE">
      <w:pPr>
        <w:jc w:val="both"/>
        <w:rPr>
          <w:bCs/>
          <w:color w:val="000000" w:themeColor="text1"/>
          <w:sz w:val="20"/>
          <w:szCs w:val="20"/>
          <w:lang w:val="en"/>
        </w:rPr>
      </w:pPr>
      <w:r w:rsidRPr="006964DE">
        <w:rPr>
          <w:bCs/>
          <w:color w:val="000000" w:themeColor="text1"/>
          <w:sz w:val="20"/>
          <w:szCs w:val="20"/>
          <w:lang w:val="en"/>
        </w:rPr>
        <w:t>A key feature of the current development of space-physics research is the revision and substantial modification of fundamental concepts that are directly relevant to space weather forecasting. This stems from errors in the interpretation of measurement results, the analysis of highly averaged data, and a number of inadequate theoretical models developed without verifying the validity of the approximations employed.</w:t>
      </w:r>
      <w:r>
        <w:rPr>
          <w:bCs/>
          <w:color w:val="000000" w:themeColor="text1"/>
          <w:sz w:val="20"/>
          <w:szCs w:val="20"/>
          <w:lang w:val="en"/>
        </w:rPr>
        <w:t xml:space="preserve"> </w:t>
      </w:r>
      <w:r w:rsidRPr="006964DE">
        <w:rPr>
          <w:bCs/>
          <w:color w:val="000000" w:themeColor="text1"/>
          <w:sz w:val="20"/>
          <w:szCs w:val="20"/>
          <w:lang w:val="en"/>
        </w:rPr>
        <w:t>A prime example of such models is ideal magnetohydrodynamics, which employs the frozen-in approximation at speeds much lower than the Alfvén and sound speeds but ignores plasma pressure gradients (Antonova et al., 2023, 2025a, 2026). Certain difficulties in magnetospheric physics have arisen due to the ambiguous modeling of the projections of plasma structures onto the equatorial plane. Only recently has it been demonstrated (Antonova et al., 2025b)—based on an analysis of the structure of large-scale field-aligned currents (</w:t>
      </w:r>
      <w:proofErr w:type="spellStart"/>
      <w:r w:rsidRPr="006964DE">
        <w:rPr>
          <w:bCs/>
          <w:color w:val="000000" w:themeColor="text1"/>
          <w:sz w:val="20"/>
          <w:szCs w:val="20"/>
          <w:lang w:val="en"/>
        </w:rPr>
        <w:t>Kirpichev</w:t>
      </w:r>
      <w:proofErr w:type="spellEnd"/>
      <w:r w:rsidRPr="006964DE">
        <w:rPr>
          <w:bCs/>
          <w:color w:val="000000" w:themeColor="text1"/>
          <w:sz w:val="20"/>
          <w:szCs w:val="20"/>
          <w:lang w:val="en"/>
        </w:rPr>
        <w:t xml:space="preserve"> et al., 2023)—that auroral structures map to inner-magnetospheric regions and originate from the energy of the solar wind magnetic field penetrating the ring current region.</w:t>
      </w:r>
    </w:p>
    <w:p w14:paraId="0E3EA255" w14:textId="68E20E4C" w:rsidR="002C35DB" w:rsidRDefault="002C35DB" w:rsidP="002C35DB">
      <w:pPr>
        <w:jc w:val="both"/>
        <w:rPr>
          <w:bCs/>
          <w:color w:val="000000" w:themeColor="text1"/>
          <w:sz w:val="20"/>
          <w:szCs w:val="20"/>
          <w:lang w:val="en"/>
        </w:rPr>
      </w:pPr>
      <w:r w:rsidRPr="002C35DB">
        <w:rPr>
          <w:bCs/>
          <w:color w:val="000000" w:themeColor="text1"/>
          <w:sz w:val="20"/>
          <w:szCs w:val="20"/>
          <w:lang w:val="en"/>
        </w:rPr>
        <w:t xml:space="preserve">Studies (Antonova et al., 2025b; </w:t>
      </w:r>
      <w:proofErr w:type="spellStart"/>
      <w:r w:rsidRPr="002C35DB">
        <w:rPr>
          <w:bCs/>
          <w:color w:val="000000" w:themeColor="text1"/>
          <w:sz w:val="20"/>
          <w:szCs w:val="20"/>
          <w:lang w:val="en"/>
        </w:rPr>
        <w:t>Vorobjev</w:t>
      </w:r>
      <w:proofErr w:type="spellEnd"/>
      <w:r w:rsidRPr="002C35DB">
        <w:rPr>
          <w:bCs/>
          <w:color w:val="000000" w:themeColor="text1"/>
          <w:sz w:val="20"/>
          <w:szCs w:val="20"/>
          <w:lang w:val="en"/>
        </w:rPr>
        <w:t xml:space="preserve"> et al., 2024, 2025</w:t>
      </w:r>
      <w:proofErr w:type="gramStart"/>
      <w:r w:rsidR="001B435D">
        <w:rPr>
          <w:bCs/>
          <w:color w:val="000000" w:themeColor="text1"/>
          <w:sz w:val="20"/>
          <w:szCs w:val="20"/>
          <w:lang w:val="en"/>
        </w:rPr>
        <w:t>a,b</w:t>
      </w:r>
      <w:proofErr w:type="gramEnd"/>
      <w:r w:rsidRPr="002C35DB">
        <w:rPr>
          <w:bCs/>
          <w:color w:val="000000" w:themeColor="text1"/>
          <w:sz w:val="20"/>
          <w:szCs w:val="20"/>
          <w:lang w:val="en"/>
        </w:rPr>
        <w:t>) provide evidence for the intra-magnetospheric localization of substorm breakup and the brightening of the auroral arc closest to the equator; the brightness and energy flux of this arc far exceed the energy flux produced by magnetospheric electrons accelerated within the observed field-aligned potential drops.</w:t>
      </w:r>
      <w:r>
        <w:rPr>
          <w:bCs/>
          <w:color w:val="000000" w:themeColor="text1"/>
          <w:sz w:val="20"/>
          <w:szCs w:val="20"/>
          <w:lang w:val="en"/>
        </w:rPr>
        <w:t xml:space="preserve"> </w:t>
      </w:r>
      <w:r w:rsidRPr="002C35DB">
        <w:rPr>
          <w:bCs/>
          <w:color w:val="000000" w:themeColor="text1"/>
          <w:sz w:val="20"/>
          <w:szCs w:val="20"/>
          <w:lang w:val="en"/>
        </w:rPr>
        <w:t xml:space="preserve">These results are difficult to reconcile with the widely discussed mechanism of auroral electron acceleration by oblique Alfvén waves and the formation of </w:t>
      </w:r>
      <w:proofErr w:type="spellStart"/>
      <w:r w:rsidRPr="002C35DB">
        <w:rPr>
          <w:bCs/>
          <w:color w:val="000000" w:themeColor="text1"/>
          <w:sz w:val="20"/>
          <w:szCs w:val="20"/>
          <w:lang w:val="en"/>
        </w:rPr>
        <w:t>Alfvénic</w:t>
      </w:r>
      <w:proofErr w:type="spellEnd"/>
      <w:r w:rsidRPr="002C35DB">
        <w:rPr>
          <w:bCs/>
          <w:color w:val="000000" w:themeColor="text1"/>
          <w:sz w:val="20"/>
          <w:szCs w:val="20"/>
          <w:lang w:val="en"/>
        </w:rPr>
        <w:t xml:space="preserve"> aurorae. The emerging contradictions can be resolved by employing a model of cold ionospheric electron penetration into the region of the parallel potential drop. In this paper, we discuss the advantages of this model for the analysis of experimental data.</w:t>
      </w:r>
    </w:p>
    <w:p w14:paraId="3C369F57" w14:textId="77777777" w:rsidR="002C35DB" w:rsidRPr="002C35DB" w:rsidRDefault="002C35DB" w:rsidP="002C35DB">
      <w:pPr>
        <w:jc w:val="both"/>
        <w:rPr>
          <w:bCs/>
          <w:color w:val="000000" w:themeColor="text1"/>
          <w:sz w:val="20"/>
          <w:szCs w:val="20"/>
          <w:lang w:val="en-US"/>
        </w:rPr>
      </w:pPr>
    </w:p>
    <w:p w14:paraId="51F8A1CD" w14:textId="6611F2E1" w:rsidR="002C35DB" w:rsidRPr="002C35DB" w:rsidRDefault="002C35DB" w:rsidP="002C35DB">
      <w:pPr>
        <w:numPr>
          <w:ilvl w:val="0"/>
          <w:numId w:val="1"/>
        </w:numPr>
        <w:jc w:val="both"/>
        <w:rPr>
          <w:b/>
          <w:lang w:val="en-US"/>
        </w:rPr>
      </w:pPr>
      <w:r w:rsidRPr="002C35DB">
        <w:rPr>
          <w:b/>
          <w:lang w:val="en"/>
        </w:rPr>
        <w:t>Auroral structures and their classification</w:t>
      </w:r>
    </w:p>
    <w:p w14:paraId="03630814" w14:textId="76A1DDF6" w:rsidR="002C35DB" w:rsidRPr="002C35DB" w:rsidRDefault="002C35DB" w:rsidP="002C35DB">
      <w:pPr>
        <w:jc w:val="both"/>
        <w:rPr>
          <w:bCs/>
          <w:sz w:val="20"/>
          <w:szCs w:val="20"/>
          <w:lang w:val="en-US"/>
        </w:rPr>
      </w:pPr>
      <w:r w:rsidRPr="002C35DB">
        <w:rPr>
          <w:bCs/>
          <w:sz w:val="20"/>
          <w:szCs w:val="20"/>
          <w:lang w:val="en-US"/>
        </w:rPr>
        <w:t>Nevell et al. (2009) classified all auroral electron spectra recorded by DMSP satellites into "monoenergetic," broadband, and diffuse categories. Spectra with a relatively narrow peak were designated as monoenergetic, while those with low intensity or a peak at low energies were classified as diffuse. A widely held view linked the formation of broadband spectra to electron acceleration via resonant interaction with oblique Alfvén waves, and the term "</w:t>
      </w:r>
      <w:proofErr w:type="spellStart"/>
      <w:r w:rsidRPr="002C35DB">
        <w:rPr>
          <w:bCs/>
          <w:sz w:val="20"/>
          <w:szCs w:val="20"/>
          <w:lang w:val="en-US"/>
        </w:rPr>
        <w:t>Alfvénic</w:t>
      </w:r>
      <w:proofErr w:type="spellEnd"/>
      <w:r w:rsidRPr="002C35DB">
        <w:rPr>
          <w:bCs/>
          <w:sz w:val="20"/>
          <w:szCs w:val="20"/>
          <w:lang w:val="en-US"/>
        </w:rPr>
        <w:t xml:space="preserve"> aurora" became established for intense structures exhibiting such spectra.</w:t>
      </w:r>
      <w:r>
        <w:rPr>
          <w:bCs/>
          <w:sz w:val="20"/>
          <w:szCs w:val="20"/>
          <w:lang w:val="en-US"/>
        </w:rPr>
        <w:t xml:space="preserve"> </w:t>
      </w:r>
      <w:r w:rsidRPr="002C35DB">
        <w:rPr>
          <w:bCs/>
          <w:sz w:val="20"/>
          <w:szCs w:val="20"/>
          <w:lang w:val="en"/>
        </w:rPr>
        <w:t>Observations of sharp electrostatic potential jumps along auroral magnetic field lines in regions characterized by monoenergetic spectra—particularly in association with spatially broad (~100 km) inverted-V and U-shaped arcs—have shown that these phenomena occur in regions of intense upward-directed field-aligned currents (</w:t>
      </w:r>
      <w:proofErr w:type="spellStart"/>
      <w:r w:rsidRPr="002C35DB">
        <w:rPr>
          <w:bCs/>
          <w:sz w:val="20"/>
          <w:szCs w:val="20"/>
          <w:lang w:val="en"/>
        </w:rPr>
        <w:t>Paschmann</w:t>
      </w:r>
      <w:proofErr w:type="spellEnd"/>
      <w:r w:rsidRPr="002C35DB">
        <w:rPr>
          <w:bCs/>
          <w:sz w:val="20"/>
          <w:szCs w:val="20"/>
          <w:lang w:val="en"/>
        </w:rPr>
        <w:t xml:space="preserve"> et al., 2002) and that longitudinal electron acceleration is driven by quasi-static electric fields. A plasma cavity is observed above the region of </w:t>
      </w:r>
      <w:r w:rsidR="00D54BEE">
        <w:rPr>
          <w:bCs/>
          <w:sz w:val="20"/>
          <w:szCs w:val="20"/>
          <w:lang w:val="en"/>
        </w:rPr>
        <w:t>field-aligned</w:t>
      </w:r>
      <w:r w:rsidRPr="002C35DB">
        <w:rPr>
          <w:bCs/>
          <w:sz w:val="20"/>
          <w:szCs w:val="20"/>
          <w:lang w:val="en"/>
        </w:rPr>
        <w:t xml:space="preserve"> acceleration, with a particle density of 1 cm⁻³ or less.</w:t>
      </w:r>
      <w:r>
        <w:rPr>
          <w:bCs/>
          <w:sz w:val="20"/>
          <w:szCs w:val="20"/>
          <w:lang w:val="en"/>
        </w:rPr>
        <w:t xml:space="preserve"> </w:t>
      </w:r>
      <w:r w:rsidRPr="002C35DB">
        <w:rPr>
          <w:bCs/>
          <w:sz w:val="20"/>
          <w:szCs w:val="20"/>
          <w:lang w:val="en"/>
        </w:rPr>
        <w:t>Therefore, they were generally considered to be directly linked to the plasma sheet. However, the most intense auroral features are narrow discrete arcs characterized by broadband electron spectra with maximum energies comparable to those of electrons in inverted-V and inverted-U structures. Simple estimates (Kornilov et al., 2008) indicated that class III and IV auroras cannot be caused by magnetospheric electrons accelerated within experimentally observed parallel electric fields.</w:t>
      </w:r>
      <w:r>
        <w:rPr>
          <w:bCs/>
          <w:sz w:val="20"/>
          <w:szCs w:val="20"/>
          <w:lang w:val="en"/>
        </w:rPr>
        <w:t xml:space="preserve"> </w:t>
      </w:r>
      <w:r w:rsidRPr="002C35DB">
        <w:rPr>
          <w:bCs/>
          <w:sz w:val="20"/>
          <w:szCs w:val="20"/>
          <w:lang w:val="en"/>
        </w:rPr>
        <w:t>In this context, account was taken of the fact that the concentration of cold ionospheric electrons at altitudes where large parallel electric fields were detected exceeds that of hot magnetospheric electrons by more than two orders of magnitude; this led to the conclusion that a different acceleration mechanism is at work—namely, acceleration within the parallel electric field of an Alfvén wave. Existing versions of this theory failed to account for the high level of fluctuations along auroral magnetic field lines across a wide frequency range, as well as the transport of fluxes perpendicular to magnetic field lines by large-scale electric fields.</w:t>
      </w:r>
      <w:r>
        <w:rPr>
          <w:bCs/>
          <w:sz w:val="20"/>
          <w:szCs w:val="20"/>
          <w:lang w:val="en"/>
        </w:rPr>
        <w:t xml:space="preserve"> </w:t>
      </w:r>
      <w:r w:rsidRPr="002C35DB">
        <w:rPr>
          <w:bCs/>
          <w:sz w:val="20"/>
          <w:szCs w:val="20"/>
          <w:lang w:val="en"/>
        </w:rPr>
        <w:t xml:space="preserve">It should also be noted that inverted-V and U-shaped structures are frequently observed simultaneously </w:t>
      </w:r>
      <w:r w:rsidR="00D54BEE">
        <w:rPr>
          <w:bCs/>
          <w:sz w:val="20"/>
          <w:szCs w:val="20"/>
          <w:lang w:val="en"/>
        </w:rPr>
        <w:t xml:space="preserve">with </w:t>
      </w:r>
      <w:r w:rsidR="00D54BEE" w:rsidRPr="002C35DB">
        <w:rPr>
          <w:bCs/>
          <w:sz w:val="20"/>
          <w:szCs w:val="20"/>
          <w:lang w:val="en"/>
        </w:rPr>
        <w:t>bright discrete arcs</w:t>
      </w:r>
      <w:r w:rsidR="00D54BEE" w:rsidRPr="002C35DB">
        <w:rPr>
          <w:bCs/>
          <w:sz w:val="20"/>
          <w:szCs w:val="20"/>
          <w:lang w:val="en"/>
        </w:rPr>
        <w:t xml:space="preserve"> </w:t>
      </w:r>
      <w:r w:rsidRPr="002C35DB">
        <w:rPr>
          <w:bCs/>
          <w:sz w:val="20"/>
          <w:szCs w:val="20"/>
          <w:lang w:val="en"/>
        </w:rPr>
        <w:t>wh</w:t>
      </w:r>
      <w:r w:rsidR="00D54BEE">
        <w:rPr>
          <w:bCs/>
          <w:sz w:val="20"/>
          <w:szCs w:val="20"/>
          <w:lang w:val="en"/>
        </w:rPr>
        <w:t>en</w:t>
      </w:r>
      <w:r w:rsidRPr="002C35DB">
        <w:rPr>
          <w:bCs/>
          <w:sz w:val="20"/>
          <w:szCs w:val="20"/>
          <w:lang w:val="en"/>
        </w:rPr>
        <w:t xml:space="preserve"> the</w:t>
      </w:r>
      <w:r w:rsidR="00D54BEE">
        <w:rPr>
          <w:bCs/>
          <w:sz w:val="20"/>
          <w:szCs w:val="20"/>
          <w:lang w:val="en"/>
        </w:rPr>
        <w:t xml:space="preserve"> satellite</w:t>
      </w:r>
      <w:r w:rsidRPr="002C35DB">
        <w:rPr>
          <w:bCs/>
          <w:sz w:val="20"/>
          <w:szCs w:val="20"/>
          <w:lang w:val="en"/>
        </w:rPr>
        <w:t xml:space="preserve"> intersects </w:t>
      </w:r>
      <w:r w:rsidR="00D54BEE">
        <w:rPr>
          <w:bCs/>
          <w:sz w:val="20"/>
          <w:szCs w:val="20"/>
          <w:lang w:val="en"/>
        </w:rPr>
        <w:t xml:space="preserve">auroral </w:t>
      </w:r>
      <w:r w:rsidR="00D54BEE" w:rsidRPr="002C35DB">
        <w:rPr>
          <w:bCs/>
          <w:sz w:val="20"/>
          <w:szCs w:val="20"/>
          <w:lang w:val="en"/>
        </w:rPr>
        <w:t>oval</w:t>
      </w:r>
      <w:r w:rsidRPr="002C35DB">
        <w:rPr>
          <w:bCs/>
          <w:sz w:val="20"/>
          <w:szCs w:val="20"/>
          <w:lang w:val="en"/>
        </w:rPr>
        <w:t xml:space="preserve">. Figure 1 illustrates such a case, observed by the DMSP F17 satellite on December 11, 2015, during a magnetospheric substorm that was analyzed in detail by </w:t>
      </w:r>
      <w:proofErr w:type="spellStart"/>
      <w:r w:rsidRPr="002C35DB">
        <w:rPr>
          <w:bCs/>
          <w:sz w:val="20"/>
          <w:szCs w:val="20"/>
          <w:lang w:val="en"/>
        </w:rPr>
        <w:t>Yagodkina</w:t>
      </w:r>
      <w:proofErr w:type="spellEnd"/>
      <w:r w:rsidRPr="002C35DB">
        <w:rPr>
          <w:bCs/>
          <w:sz w:val="20"/>
          <w:szCs w:val="20"/>
          <w:lang w:val="en"/>
        </w:rPr>
        <w:t xml:space="preserve"> et al. (in press).</w:t>
      </w:r>
      <w:r>
        <w:rPr>
          <w:bCs/>
          <w:sz w:val="20"/>
          <w:szCs w:val="20"/>
          <w:lang w:val="en"/>
        </w:rPr>
        <w:t xml:space="preserve"> </w:t>
      </w:r>
      <w:r w:rsidRPr="002C35DB">
        <w:rPr>
          <w:bCs/>
          <w:sz w:val="20"/>
          <w:szCs w:val="20"/>
          <w:lang w:val="en"/>
        </w:rPr>
        <w:t xml:space="preserve">The overpass occurred during the recovery phase of an intense substorm. Within the 71.5°–72.5° CGL latitude range inside the auroral oval, an arc approximately 130 km wide was observed, featuring intense electron precipitation at its poleward boundary. The maximum energy flux was 55 erg/(cm²·s) and the mean energy was 9.5 keV at 16:20:29 UT, with an intensity of approximately 47 </w:t>
      </w:r>
      <w:proofErr w:type="spellStart"/>
      <w:r w:rsidRPr="002C35DB">
        <w:rPr>
          <w:bCs/>
          <w:sz w:val="20"/>
          <w:szCs w:val="20"/>
          <w:lang w:val="en"/>
        </w:rPr>
        <w:t>kR</w:t>
      </w:r>
      <w:proofErr w:type="spellEnd"/>
      <w:r w:rsidRPr="002C35DB">
        <w:rPr>
          <w:bCs/>
          <w:sz w:val="20"/>
          <w:szCs w:val="20"/>
          <w:lang w:val="en"/>
        </w:rPr>
        <w:t xml:space="preserve"> in the 557.7 nm line.</w:t>
      </w:r>
    </w:p>
    <w:p w14:paraId="619FB2C5" w14:textId="77777777" w:rsidR="00AD3182" w:rsidRPr="002C35DB" w:rsidRDefault="00AD3182">
      <w:pPr>
        <w:jc w:val="both"/>
        <w:rPr>
          <w:bCs/>
          <w:color w:val="000000" w:themeColor="text1"/>
          <w:sz w:val="20"/>
          <w:szCs w:val="20"/>
          <w:lang w:val="en-US"/>
        </w:rPr>
      </w:pPr>
    </w:p>
    <w:p w14:paraId="469A0C1A" w14:textId="28CF1002" w:rsidR="00AD3182" w:rsidRPr="00045F2A" w:rsidRDefault="00045F2A">
      <w:pPr>
        <w:jc w:val="center"/>
        <w:rPr>
          <w:bCs/>
          <w:color w:val="000000" w:themeColor="text1"/>
          <w:sz w:val="20"/>
          <w:szCs w:val="20"/>
          <w:lang w:val="en-US"/>
        </w:rPr>
      </w:pPr>
      <w:r>
        <w:rPr>
          <w:bCs/>
          <w:noProof/>
          <w:color w:val="000000" w:themeColor="text1"/>
          <w:sz w:val="20"/>
          <w:szCs w:val="20"/>
          <w:lang w:val="en-US"/>
        </w:rPr>
        <w:drawing>
          <wp:inline distT="0" distB="0" distL="0" distR="0" wp14:anchorId="469E6D29" wp14:editId="359C0EF5">
            <wp:extent cx="5278636" cy="2812415"/>
            <wp:effectExtent l="0" t="0" r="0" b="6985"/>
            <wp:docPr id="110196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27269" cy="2838326"/>
                    </a:xfrm>
                    <a:prstGeom prst="rect">
                      <a:avLst/>
                    </a:prstGeom>
                    <a:noFill/>
                    <a:ln>
                      <a:noFill/>
                    </a:ln>
                  </pic:spPr>
                </pic:pic>
              </a:graphicData>
            </a:graphic>
          </wp:inline>
        </w:drawing>
      </w:r>
    </w:p>
    <w:p w14:paraId="1ECF27CD" w14:textId="77777777" w:rsidR="00AD3182" w:rsidRPr="00045F2A" w:rsidRDefault="00AD3182">
      <w:pPr>
        <w:jc w:val="center"/>
        <w:rPr>
          <w:bCs/>
          <w:color w:val="000000" w:themeColor="text1"/>
          <w:sz w:val="20"/>
          <w:szCs w:val="20"/>
          <w:lang w:val="en-US"/>
        </w:rPr>
      </w:pPr>
    </w:p>
    <w:p w14:paraId="4D7D1DE3" w14:textId="7BEAC2C3" w:rsidR="00AD3182" w:rsidRDefault="00000000">
      <w:pPr>
        <w:jc w:val="both"/>
        <w:rPr>
          <w:sz w:val="20"/>
          <w:szCs w:val="20"/>
          <w:lang w:val="en-US"/>
        </w:rPr>
      </w:pPr>
      <w:r>
        <w:rPr>
          <w:sz w:val="20"/>
          <w:szCs w:val="20"/>
          <w:lang w:val="en-US"/>
        </w:rPr>
        <w:t xml:space="preserve">Fig. 1. </w:t>
      </w:r>
      <w:r w:rsidR="00F72CDD" w:rsidRPr="00F72CDD">
        <w:rPr>
          <w:sz w:val="20"/>
          <w:szCs w:val="20"/>
          <w:lang w:val="en-US"/>
        </w:rPr>
        <w:t>Observations from the DMSP F17 satellite on December 11, 2015, during the substorm recovery phase</w:t>
      </w:r>
      <w:r w:rsidR="00D54BEE">
        <w:rPr>
          <w:sz w:val="20"/>
          <w:szCs w:val="20"/>
          <w:lang w:val="en-US"/>
        </w:rPr>
        <w:t xml:space="preserve"> </w:t>
      </w:r>
      <w:r w:rsidR="00D54BEE" w:rsidRPr="00F72CDD">
        <w:rPr>
          <w:sz w:val="20"/>
          <w:szCs w:val="20"/>
          <w:lang w:val="en-US"/>
        </w:rPr>
        <w:t>illustrating the action of the electrostatic acceleration mechanism described in the text</w:t>
      </w:r>
      <w:r w:rsidR="00F72CDD" w:rsidRPr="00F72CDD">
        <w:rPr>
          <w:sz w:val="20"/>
          <w:szCs w:val="20"/>
          <w:lang w:val="en-US"/>
        </w:rPr>
        <w:t xml:space="preserve"> (a)</w:t>
      </w:r>
      <w:r w:rsidR="00D54BEE">
        <w:rPr>
          <w:sz w:val="20"/>
          <w:szCs w:val="20"/>
          <w:lang w:val="en-US"/>
        </w:rPr>
        <w:t>;</w:t>
      </w:r>
      <w:r w:rsidR="00F72CDD" w:rsidRPr="00F72CDD">
        <w:rPr>
          <w:sz w:val="20"/>
          <w:szCs w:val="20"/>
          <w:lang w:val="en-US"/>
        </w:rPr>
        <w:t xml:space="preserve"> the AL geomagnetic activity index (the red line indicates the time of the pass)</w:t>
      </w:r>
      <w:r w:rsidR="00D54BEE">
        <w:rPr>
          <w:sz w:val="20"/>
          <w:szCs w:val="20"/>
          <w:lang w:val="en-US"/>
        </w:rPr>
        <w:t xml:space="preserve"> (b)</w:t>
      </w:r>
      <w:r w:rsidR="00F72CDD" w:rsidRPr="00F72CDD">
        <w:rPr>
          <w:sz w:val="20"/>
          <w:szCs w:val="20"/>
          <w:lang w:val="en-US"/>
        </w:rPr>
        <w:t>; a potential distribution diagram (highlighted in white)</w:t>
      </w:r>
      <w:r w:rsidR="00045F2A">
        <w:rPr>
          <w:sz w:val="20"/>
          <w:szCs w:val="20"/>
          <w:lang w:val="en-US"/>
        </w:rPr>
        <w:t>, ion (red) and electron</w:t>
      </w:r>
      <w:r w:rsidR="00045F2A" w:rsidRPr="00045F2A">
        <w:rPr>
          <w:sz w:val="20"/>
          <w:szCs w:val="20"/>
          <w:lang w:val="en-US"/>
        </w:rPr>
        <w:t xml:space="preserve"> (</w:t>
      </w:r>
      <w:r w:rsidR="00045F2A" w:rsidRPr="00045F2A">
        <w:rPr>
          <w:sz w:val="20"/>
          <w:szCs w:val="20"/>
          <w:lang w:val="en-US"/>
        </w:rPr>
        <w:t>bright</w:t>
      </w:r>
      <w:r w:rsidR="00045F2A" w:rsidRPr="00045F2A">
        <w:rPr>
          <w:sz w:val="20"/>
          <w:szCs w:val="20"/>
          <w:lang w:val="en-US"/>
        </w:rPr>
        <w:t xml:space="preserve"> </w:t>
      </w:r>
      <w:r w:rsidR="00045F2A">
        <w:rPr>
          <w:sz w:val="20"/>
          <w:szCs w:val="20"/>
          <w:lang w:val="en-US"/>
        </w:rPr>
        <w:t xml:space="preserve">green) electron beams </w:t>
      </w:r>
      <w:r w:rsidR="00045F2A" w:rsidRPr="00F72CDD">
        <w:rPr>
          <w:sz w:val="20"/>
          <w:szCs w:val="20"/>
          <w:lang w:val="en-US"/>
        </w:rPr>
        <w:t xml:space="preserve">at the edge of the V/U </w:t>
      </w:r>
      <w:r w:rsidR="00045F2A">
        <w:rPr>
          <w:sz w:val="20"/>
          <w:szCs w:val="20"/>
          <w:lang w:val="en-US"/>
        </w:rPr>
        <w:t xml:space="preserve">auroral </w:t>
      </w:r>
      <w:r w:rsidR="00045F2A" w:rsidRPr="00F72CDD">
        <w:rPr>
          <w:sz w:val="20"/>
          <w:szCs w:val="20"/>
          <w:lang w:val="en-US"/>
        </w:rPr>
        <w:t>structure</w:t>
      </w:r>
      <w:r w:rsidR="00D54BEE">
        <w:rPr>
          <w:sz w:val="20"/>
          <w:szCs w:val="20"/>
          <w:lang w:val="en-US"/>
        </w:rPr>
        <w:t xml:space="preserve"> </w:t>
      </w:r>
      <w:r w:rsidR="00D54BEE" w:rsidRPr="00F72CDD">
        <w:rPr>
          <w:sz w:val="20"/>
          <w:szCs w:val="20"/>
          <w:lang w:val="en-US"/>
        </w:rPr>
        <w:t>(c)</w:t>
      </w:r>
      <w:r w:rsidR="00045F2A">
        <w:rPr>
          <w:sz w:val="20"/>
          <w:szCs w:val="20"/>
          <w:lang w:val="en-US"/>
        </w:rPr>
        <w:t xml:space="preserve"> </w:t>
      </w:r>
      <w:r w:rsidR="00F72CDD" w:rsidRPr="00F72CDD">
        <w:rPr>
          <w:sz w:val="20"/>
          <w:szCs w:val="20"/>
          <w:lang w:val="en-US"/>
        </w:rPr>
        <w:t xml:space="preserve"> </w:t>
      </w:r>
    </w:p>
    <w:p w14:paraId="1F515389" w14:textId="77777777" w:rsidR="00045F2A" w:rsidRDefault="00045F2A">
      <w:pPr>
        <w:jc w:val="both"/>
        <w:rPr>
          <w:sz w:val="20"/>
          <w:szCs w:val="20"/>
          <w:lang w:val="en-US"/>
        </w:rPr>
      </w:pPr>
    </w:p>
    <w:p w14:paraId="41CF43AF" w14:textId="46DD18E0" w:rsidR="00F72CDD" w:rsidRPr="00F72CDD" w:rsidRDefault="00F72CDD">
      <w:pPr>
        <w:jc w:val="both"/>
        <w:rPr>
          <w:sz w:val="20"/>
          <w:szCs w:val="20"/>
          <w:lang w:val="en-US"/>
        </w:rPr>
      </w:pPr>
      <w:r w:rsidRPr="00F72CDD">
        <w:rPr>
          <w:sz w:val="20"/>
          <w:szCs w:val="20"/>
          <w:lang w:val="en-US"/>
        </w:rPr>
        <w:t>However, observations from DMSP satellites allow for the detection of electrons only in the direction toward Earth, using a detector with a narrow aperture and a temporal resolution of 1 second</w:t>
      </w:r>
      <w:r w:rsidR="00A226FC">
        <w:rPr>
          <w:sz w:val="20"/>
          <w:szCs w:val="20"/>
          <w:lang w:val="en-US"/>
        </w:rPr>
        <w:t>.</w:t>
      </w:r>
      <w:r w:rsidRPr="00F72CDD">
        <w:rPr>
          <w:sz w:val="20"/>
          <w:szCs w:val="20"/>
          <w:lang w:val="en-US"/>
        </w:rPr>
        <w:t xml:space="preserve"> </w:t>
      </w:r>
      <w:r w:rsidR="00A226FC">
        <w:rPr>
          <w:sz w:val="20"/>
          <w:szCs w:val="20"/>
          <w:lang w:val="en-US"/>
        </w:rPr>
        <w:t>T</w:t>
      </w:r>
      <w:r w:rsidRPr="00F72CDD">
        <w:rPr>
          <w:sz w:val="20"/>
          <w:szCs w:val="20"/>
          <w:lang w:val="en-US"/>
        </w:rPr>
        <w:t xml:space="preserve">his complicates the systematization of the mechanisms underlying auroral activity. Significant progress in auroral physics was achieved through the FAST satellite mission (McFadden et al., 1999), which provided measurements of pitch-angle distributions with high temporal resolution between 1997 and 2009. Studies by </w:t>
      </w:r>
      <w:proofErr w:type="spellStart"/>
      <w:r w:rsidRPr="00F72CDD">
        <w:rPr>
          <w:sz w:val="20"/>
          <w:szCs w:val="20"/>
          <w:lang w:val="en-US"/>
        </w:rPr>
        <w:t>Dubyagin</w:t>
      </w:r>
      <w:proofErr w:type="spellEnd"/>
      <w:r w:rsidRPr="00F72CDD">
        <w:rPr>
          <w:sz w:val="20"/>
          <w:szCs w:val="20"/>
          <w:lang w:val="en-US"/>
        </w:rPr>
        <w:t xml:space="preserve"> et al. (2003) and Mende et al. (2003) described the formation of a powerful field-aligned electron beam precisely at the moment of substorm onset at a latitude of approximately 65° CGL.</w:t>
      </w:r>
      <w:r>
        <w:rPr>
          <w:sz w:val="20"/>
          <w:szCs w:val="20"/>
          <w:lang w:val="en-US"/>
        </w:rPr>
        <w:t xml:space="preserve"> </w:t>
      </w:r>
      <w:r w:rsidRPr="00F72CDD">
        <w:rPr>
          <w:sz w:val="20"/>
          <w:szCs w:val="20"/>
          <w:lang w:val="en-US"/>
        </w:rPr>
        <w:t>The beam flux was approximately 10¹¹ cm⁻² s⁻¹. Statistical results from the FAST satellite regarding particle spectra and the spatial distribution of aurora types were published only relatively recently (Dombeck et al., 2018), leading to a significant revision of the conclusions drawn by Nevell et al. (2009). Th</w:t>
      </w:r>
      <w:r w:rsidR="00A226FC">
        <w:rPr>
          <w:sz w:val="20"/>
          <w:szCs w:val="20"/>
          <w:lang w:val="en-US"/>
        </w:rPr>
        <w:t>is</w:t>
      </w:r>
      <w:r w:rsidRPr="00F72CDD">
        <w:rPr>
          <w:sz w:val="20"/>
          <w:szCs w:val="20"/>
          <w:lang w:val="en-US"/>
        </w:rPr>
        <w:t xml:space="preserve"> analysis was conducted assuming the potential operation of both electrostatic and </w:t>
      </w:r>
      <w:proofErr w:type="spellStart"/>
      <w:r w:rsidRPr="00F72CDD">
        <w:rPr>
          <w:sz w:val="20"/>
          <w:szCs w:val="20"/>
          <w:lang w:val="en-US"/>
        </w:rPr>
        <w:t>Alfvénic</w:t>
      </w:r>
      <w:proofErr w:type="spellEnd"/>
      <w:r w:rsidRPr="00F72CDD">
        <w:rPr>
          <w:sz w:val="20"/>
          <w:szCs w:val="20"/>
          <w:lang w:val="en-US"/>
        </w:rPr>
        <w:t xml:space="preserve"> acceleration. In cases where clear identification was not possible, the spectra were classified as diffuse, regardless of the nature of the observed event.</w:t>
      </w:r>
      <w:r>
        <w:rPr>
          <w:sz w:val="20"/>
          <w:szCs w:val="20"/>
          <w:lang w:val="en-US"/>
        </w:rPr>
        <w:t xml:space="preserve"> </w:t>
      </w:r>
      <w:r w:rsidRPr="00F72CDD">
        <w:rPr>
          <w:sz w:val="20"/>
          <w:szCs w:val="20"/>
          <w:lang w:val="en-US"/>
        </w:rPr>
        <w:t xml:space="preserve">It has been shown that, for small </w:t>
      </w:r>
      <w:r w:rsidR="00A226FC">
        <w:rPr>
          <w:sz w:val="20"/>
          <w:szCs w:val="20"/>
          <w:lang w:val="en-US"/>
        </w:rPr>
        <w:t>field-aligned</w:t>
      </w:r>
      <w:r w:rsidRPr="00F72CDD">
        <w:rPr>
          <w:sz w:val="20"/>
          <w:szCs w:val="20"/>
          <w:lang w:val="en-US"/>
        </w:rPr>
        <w:t xml:space="preserve"> potential drops, it is not possible to distinguish between regions of electrostatic acceleration and </w:t>
      </w:r>
      <w:proofErr w:type="spellStart"/>
      <w:r w:rsidRPr="00F72CDD">
        <w:rPr>
          <w:sz w:val="20"/>
          <w:szCs w:val="20"/>
          <w:lang w:val="en-US"/>
        </w:rPr>
        <w:t>Alfvénic</w:t>
      </w:r>
      <w:proofErr w:type="spellEnd"/>
      <w:r w:rsidRPr="00F72CDD">
        <w:rPr>
          <w:sz w:val="20"/>
          <w:szCs w:val="20"/>
          <w:lang w:val="en-US"/>
        </w:rPr>
        <w:t xml:space="preserve"> acceleration, and that these two mechanisms can operate simultaneously. A complex mixture of spectra is observed in this context.</w:t>
      </w:r>
      <w:r>
        <w:rPr>
          <w:sz w:val="20"/>
          <w:szCs w:val="20"/>
          <w:lang w:val="en-US"/>
        </w:rPr>
        <w:t xml:space="preserve"> </w:t>
      </w:r>
      <w:r w:rsidRPr="00F72CDD">
        <w:rPr>
          <w:sz w:val="20"/>
          <w:szCs w:val="20"/>
          <w:lang w:val="en-US"/>
        </w:rPr>
        <w:t>Spectra near the cusps were considered diffuse, although it was acknowledged that these could be regions of intense electrostatic acceleration characterized by strong fluctuations, or very narrow beams. Overall, the conclusion was drawn that "classifications must be interpreted with great care—the correspondence between classification and mechanism is not one-to-one."</w:t>
      </w:r>
    </w:p>
    <w:p w14:paraId="19C56297" w14:textId="77777777" w:rsidR="00F72CDD" w:rsidRDefault="00F72CDD">
      <w:pPr>
        <w:jc w:val="both"/>
        <w:rPr>
          <w:b/>
          <w:sz w:val="20"/>
          <w:szCs w:val="20"/>
          <w:lang w:val="en-US"/>
        </w:rPr>
      </w:pPr>
    </w:p>
    <w:p w14:paraId="53F072EB" w14:textId="53887688" w:rsidR="00AD3182" w:rsidRDefault="00000000">
      <w:pPr>
        <w:jc w:val="both"/>
        <w:rPr>
          <w:b/>
          <w:bCs/>
          <w:sz w:val="20"/>
          <w:szCs w:val="20"/>
          <w:lang w:val="en-US"/>
        </w:rPr>
      </w:pPr>
      <w:r>
        <w:rPr>
          <w:b/>
          <w:sz w:val="20"/>
          <w:szCs w:val="20"/>
          <w:lang w:val="en-US"/>
        </w:rPr>
        <w:t xml:space="preserve">3. </w:t>
      </w:r>
      <w:r w:rsidR="006334B1" w:rsidRPr="006334B1">
        <w:rPr>
          <w:b/>
          <w:bCs/>
          <w:sz w:val="20"/>
          <w:szCs w:val="20"/>
          <w:lang w:val="en-US"/>
        </w:rPr>
        <w:t xml:space="preserve">Advantages of auroral electron acceleration by electrostatic fields compared to </w:t>
      </w:r>
      <w:proofErr w:type="spellStart"/>
      <w:r w:rsidR="006334B1" w:rsidRPr="006334B1">
        <w:rPr>
          <w:b/>
          <w:bCs/>
          <w:sz w:val="20"/>
          <w:szCs w:val="20"/>
          <w:lang w:val="en-US"/>
        </w:rPr>
        <w:t>Alfvénic</w:t>
      </w:r>
      <w:proofErr w:type="spellEnd"/>
      <w:r w:rsidR="006334B1" w:rsidRPr="006334B1">
        <w:rPr>
          <w:b/>
          <w:bCs/>
          <w:sz w:val="20"/>
          <w:szCs w:val="20"/>
          <w:lang w:val="en-US"/>
        </w:rPr>
        <w:t xml:space="preserve"> acceleration</w:t>
      </w:r>
    </w:p>
    <w:p w14:paraId="2AA523C4" w14:textId="0FF48B26" w:rsidR="001F2379" w:rsidRDefault="006334B1">
      <w:pPr>
        <w:jc w:val="both"/>
        <w:rPr>
          <w:rFonts w:eastAsiaTheme="minorHAnsi"/>
          <w:sz w:val="20"/>
          <w:szCs w:val="20"/>
          <w:lang w:val="en-US"/>
        </w:rPr>
      </w:pPr>
      <w:r w:rsidRPr="006334B1">
        <w:rPr>
          <w:rFonts w:eastAsiaTheme="minorHAnsi"/>
          <w:sz w:val="20"/>
          <w:szCs w:val="20"/>
          <w:lang w:val="en-US"/>
        </w:rPr>
        <w:t xml:space="preserve">The mechanism of </w:t>
      </w:r>
      <w:proofErr w:type="spellStart"/>
      <w:r w:rsidRPr="006334B1">
        <w:rPr>
          <w:rFonts w:eastAsiaTheme="minorHAnsi"/>
          <w:sz w:val="20"/>
          <w:szCs w:val="20"/>
          <w:lang w:val="en-US"/>
        </w:rPr>
        <w:t>Alfvénic</w:t>
      </w:r>
      <w:proofErr w:type="spellEnd"/>
      <w:r w:rsidRPr="006334B1">
        <w:rPr>
          <w:rFonts w:eastAsiaTheme="minorHAnsi"/>
          <w:sz w:val="20"/>
          <w:szCs w:val="20"/>
          <w:lang w:val="en-US"/>
        </w:rPr>
        <w:t xml:space="preserve"> acceleration was based on an analysis of kinetic effects associated with small transverse-scale Alfvén waves, where an electric field component arises along the magnetic field line. Through resonant interaction, this field can accelerate electrons to speeds comparable to the local Alfvén velocity. </w:t>
      </w:r>
      <w:proofErr w:type="spellStart"/>
      <w:r w:rsidRPr="006334B1">
        <w:rPr>
          <w:rFonts w:eastAsiaTheme="minorHAnsi"/>
          <w:sz w:val="20"/>
          <w:szCs w:val="20"/>
          <w:lang w:val="en-US"/>
        </w:rPr>
        <w:t>Alfvénic</w:t>
      </w:r>
      <w:proofErr w:type="spellEnd"/>
      <w:r w:rsidRPr="006334B1">
        <w:rPr>
          <w:rFonts w:eastAsiaTheme="minorHAnsi"/>
          <w:sz w:val="20"/>
          <w:szCs w:val="20"/>
          <w:lang w:val="en-US"/>
        </w:rPr>
        <w:t xml:space="preserve"> acceleration boosts different electrons to varying energies, resulting in the formation of a broadband spectrum (see Chen and Hasegawa (1974) and numerous subsequent studies). Satellite observations of </w:t>
      </w:r>
      <w:proofErr w:type="spellStart"/>
      <w:r w:rsidRPr="006334B1">
        <w:rPr>
          <w:rFonts w:eastAsiaTheme="minorHAnsi"/>
          <w:sz w:val="20"/>
          <w:szCs w:val="20"/>
          <w:lang w:val="en-US"/>
        </w:rPr>
        <w:t>Alfvénic</w:t>
      </w:r>
      <w:proofErr w:type="spellEnd"/>
      <w:r w:rsidRPr="006334B1">
        <w:rPr>
          <w:rFonts w:eastAsiaTheme="minorHAnsi"/>
          <w:sz w:val="20"/>
          <w:szCs w:val="20"/>
          <w:lang w:val="en-US"/>
        </w:rPr>
        <w:t xml:space="preserve"> fluctuations occurring simultaneously with electron beams were interpreted as evidence of this mechanism in action.</w:t>
      </w:r>
    </w:p>
    <w:p w14:paraId="1DE6E13F" w14:textId="51C7639D" w:rsidR="00820802" w:rsidRDefault="00820802" w:rsidP="00820802">
      <w:pPr>
        <w:jc w:val="both"/>
        <w:rPr>
          <w:rFonts w:eastAsiaTheme="minorHAnsi"/>
          <w:sz w:val="20"/>
          <w:szCs w:val="20"/>
        </w:rPr>
      </w:pPr>
      <w:r>
        <w:rPr>
          <w:rFonts w:eastAsiaTheme="minorHAnsi"/>
          <w:sz w:val="20"/>
          <w:szCs w:val="20"/>
          <w:lang w:val="en"/>
        </w:rPr>
        <w:t xml:space="preserve">   </w:t>
      </w:r>
      <w:r w:rsidRPr="00820802">
        <w:rPr>
          <w:rFonts w:eastAsiaTheme="minorHAnsi"/>
          <w:sz w:val="20"/>
          <w:szCs w:val="20"/>
          <w:lang w:val="en"/>
        </w:rPr>
        <w:t xml:space="preserve">The mechanism of electrostatic acceleration—based on observational evidence of nearly monoenergetic spectra—developed almost concurrently with the mechanism of </w:t>
      </w:r>
      <w:proofErr w:type="spellStart"/>
      <w:r w:rsidRPr="00820802">
        <w:rPr>
          <w:rFonts w:eastAsiaTheme="minorHAnsi"/>
          <w:sz w:val="20"/>
          <w:szCs w:val="20"/>
          <w:lang w:val="en"/>
        </w:rPr>
        <w:t>Alfvénic</w:t>
      </w:r>
      <w:proofErr w:type="spellEnd"/>
      <w:r w:rsidRPr="00820802">
        <w:rPr>
          <w:rFonts w:eastAsiaTheme="minorHAnsi"/>
          <w:sz w:val="20"/>
          <w:szCs w:val="20"/>
          <w:lang w:val="en"/>
        </w:rPr>
        <w:t xml:space="preserve"> acceleration. In this mechanism, beam formation is a direct consequence of a </w:t>
      </w:r>
      <w:r w:rsidR="004D7C0F">
        <w:rPr>
          <w:rFonts w:eastAsiaTheme="minorHAnsi"/>
          <w:sz w:val="20"/>
          <w:szCs w:val="20"/>
          <w:lang w:val="en"/>
        </w:rPr>
        <w:t>field-aligned</w:t>
      </w:r>
      <w:r w:rsidRPr="00820802">
        <w:rPr>
          <w:rFonts w:eastAsiaTheme="minorHAnsi"/>
          <w:sz w:val="20"/>
          <w:szCs w:val="20"/>
          <w:lang w:val="en"/>
        </w:rPr>
        <w:t xml:space="preserve"> potential drop. It is well known that high-frequency instabilities develop rapidly within a </w:t>
      </w:r>
      <w:r w:rsidR="00FA25E5">
        <w:rPr>
          <w:rFonts w:eastAsiaTheme="minorHAnsi"/>
          <w:sz w:val="20"/>
          <w:szCs w:val="20"/>
          <w:lang w:val="en"/>
        </w:rPr>
        <w:t>field-aligned</w:t>
      </w:r>
      <w:r w:rsidRPr="00820802">
        <w:rPr>
          <w:rFonts w:eastAsiaTheme="minorHAnsi"/>
          <w:sz w:val="20"/>
          <w:szCs w:val="20"/>
          <w:lang w:val="en"/>
        </w:rPr>
        <w:t xml:space="preserve"> beam, causing the distribution function to relax into a plateau-like distribution.</w:t>
      </w:r>
      <w:r w:rsidR="00FA25E5">
        <w:rPr>
          <w:rFonts w:eastAsiaTheme="minorHAnsi"/>
          <w:sz w:val="20"/>
          <w:szCs w:val="20"/>
          <w:lang w:val="en"/>
        </w:rPr>
        <w:t xml:space="preserve"> </w:t>
      </w:r>
      <w:r w:rsidR="00FA25E5" w:rsidRPr="00FA25E5">
        <w:rPr>
          <w:rFonts w:eastAsiaTheme="minorHAnsi"/>
          <w:sz w:val="20"/>
          <w:szCs w:val="20"/>
          <w:lang w:val="en"/>
        </w:rPr>
        <w:t>Therefore, the formation of a broadband spectrum devoid of distinctive features above the region where beam dissipation begins in the atmosphere is a natural consequence of the mechanism under discussion. Simultaneously, ionospheric electrons are accelerated downward, and ionospheric ions are accelerated upward.</w:t>
      </w:r>
      <w:r w:rsidR="007B6837" w:rsidRPr="007B6837">
        <w:rPr>
          <w:rFonts w:eastAsiaTheme="minorHAnsi"/>
          <w:sz w:val="20"/>
          <w:szCs w:val="20"/>
          <w:lang w:val="en-US"/>
        </w:rPr>
        <w:t xml:space="preserve"> </w:t>
      </w:r>
      <w:r w:rsidR="007B6837" w:rsidRPr="007B6837">
        <w:rPr>
          <w:rFonts w:eastAsiaTheme="minorHAnsi"/>
          <w:sz w:val="20"/>
          <w:szCs w:val="20"/>
          <w:lang w:val="en-US"/>
        </w:rPr>
        <w:t xml:space="preserve">This implies the emergence of a strong, thin, field-aligned current—which can, of course, be viewed as a kinetic Alfvén wave—but the source of such a structure is the penetration of cold ionospheric plasma into the region of the </w:t>
      </w:r>
      <w:r w:rsidR="00A226FC">
        <w:rPr>
          <w:rFonts w:eastAsiaTheme="minorHAnsi"/>
          <w:sz w:val="20"/>
          <w:szCs w:val="20"/>
          <w:lang w:val="en-US"/>
        </w:rPr>
        <w:t>field-aligned</w:t>
      </w:r>
      <w:r w:rsidR="007B6837" w:rsidRPr="007B6837">
        <w:rPr>
          <w:rFonts w:eastAsiaTheme="minorHAnsi"/>
          <w:sz w:val="20"/>
          <w:szCs w:val="20"/>
          <w:lang w:val="en-US"/>
        </w:rPr>
        <w:t xml:space="preserve"> potential drop. Effectively, this requires addressing the problem of the formation of the boundary between the cold ionospheric plasma and the magnetospheric plasma cavity.</w:t>
      </w:r>
      <w:r w:rsidR="007B6837" w:rsidRPr="007B6837">
        <w:rPr>
          <w:rFonts w:eastAsiaTheme="minorHAnsi"/>
          <w:sz w:val="20"/>
          <w:szCs w:val="20"/>
          <w:lang w:val="en-US"/>
        </w:rPr>
        <w:t xml:space="preserve"> </w:t>
      </w:r>
      <w:r w:rsidR="007B6837" w:rsidRPr="007B6837">
        <w:rPr>
          <w:rFonts w:eastAsiaTheme="minorHAnsi"/>
          <w:sz w:val="20"/>
          <w:szCs w:val="20"/>
          <w:lang w:val="en-US"/>
        </w:rPr>
        <w:t>In this context, it is also necessary to take into account the development of a high level of turbulence and the diffusive penetration of plasma across the boundary. The flyby shown in Fig. 1 serves to illustrate the operation of this mechanism, which was discussed as early as the beginning of detailed studies (Antonova, 1979).</w:t>
      </w:r>
      <w:r w:rsidR="007B6837" w:rsidRPr="007B6837">
        <w:rPr>
          <w:rFonts w:eastAsiaTheme="minorHAnsi"/>
          <w:sz w:val="20"/>
          <w:szCs w:val="20"/>
          <w:lang w:val="en-US"/>
        </w:rPr>
        <w:t xml:space="preserve"> </w:t>
      </w:r>
      <w:r w:rsidR="007B6837" w:rsidRPr="007B6837">
        <w:rPr>
          <w:rFonts w:eastAsiaTheme="minorHAnsi"/>
          <w:sz w:val="20"/>
          <w:szCs w:val="20"/>
          <w:lang w:val="en-US"/>
        </w:rPr>
        <w:t>The penetration of plasma across the boundary of the V/U structure, indicated by the red-green arrow, may result either from the motion of the large-scale structure as a whole or from the diffusive penetration of cold plasma across the structure's boundary. This issue requires further investigation.</w:t>
      </w:r>
    </w:p>
    <w:p w14:paraId="7287FE83" w14:textId="371E80E4" w:rsidR="005C3284" w:rsidRPr="005C3284" w:rsidRDefault="005C3284" w:rsidP="005C3284">
      <w:pPr>
        <w:jc w:val="both"/>
        <w:rPr>
          <w:rFonts w:eastAsiaTheme="minorHAnsi"/>
          <w:sz w:val="20"/>
          <w:szCs w:val="20"/>
          <w:lang w:val="en-US"/>
        </w:rPr>
      </w:pPr>
      <w:r>
        <w:rPr>
          <w:rFonts w:eastAsiaTheme="minorHAnsi"/>
          <w:sz w:val="20"/>
          <w:szCs w:val="20"/>
          <w:lang w:val="en-US"/>
        </w:rPr>
        <w:t xml:space="preserve">    </w:t>
      </w:r>
      <w:r w:rsidRPr="005C3284">
        <w:rPr>
          <w:rFonts w:eastAsiaTheme="minorHAnsi"/>
          <w:sz w:val="20"/>
          <w:szCs w:val="20"/>
          <w:lang w:val="en-US"/>
        </w:rPr>
        <w:t xml:space="preserve">Applying the mechanism of </w:t>
      </w:r>
      <w:proofErr w:type="spellStart"/>
      <w:r w:rsidRPr="005C3284">
        <w:rPr>
          <w:rFonts w:eastAsiaTheme="minorHAnsi"/>
          <w:sz w:val="20"/>
          <w:szCs w:val="20"/>
          <w:lang w:val="en-US"/>
        </w:rPr>
        <w:t>Alfvénic</w:t>
      </w:r>
      <w:proofErr w:type="spellEnd"/>
      <w:r w:rsidRPr="005C3284">
        <w:rPr>
          <w:rFonts w:eastAsiaTheme="minorHAnsi"/>
          <w:sz w:val="20"/>
          <w:szCs w:val="20"/>
          <w:lang w:val="en-US"/>
        </w:rPr>
        <w:t xml:space="preserve"> acceleration to the formation of powerful beams implies the emergence of a stable wave structure. Despite significant efforts to detect such structures experimentally, no substantial results have been obtained. Indirect confirmation</w:t>
      </w:r>
      <w:r w:rsidRPr="005C3284">
        <w:rPr>
          <w:rFonts w:eastAsiaTheme="minorHAnsi"/>
          <w:sz w:val="20"/>
          <w:szCs w:val="20"/>
          <w:lang w:val="en-US"/>
        </w:rPr>
        <w:t xml:space="preserve"> </w:t>
      </w:r>
      <w:r>
        <w:rPr>
          <w:rFonts w:eastAsiaTheme="minorHAnsi"/>
          <w:sz w:val="20"/>
          <w:szCs w:val="20"/>
          <w:lang w:val="en-US"/>
        </w:rPr>
        <w:t xml:space="preserve">of electrostatic mechanism is the value of the </w:t>
      </w:r>
      <w:r w:rsidRPr="005C3284">
        <w:rPr>
          <w:rFonts w:eastAsiaTheme="minorHAnsi"/>
          <w:sz w:val="20"/>
          <w:szCs w:val="20"/>
          <w:lang w:val="en-US"/>
        </w:rPr>
        <w:t>upper limit for the energy of beam electrons which cannot</w:t>
      </w:r>
      <w:r>
        <w:rPr>
          <w:rFonts w:eastAsiaTheme="minorHAnsi"/>
          <w:sz w:val="20"/>
          <w:szCs w:val="20"/>
          <w:lang w:val="en-US"/>
        </w:rPr>
        <w:t xml:space="preserve"> </w:t>
      </w:r>
      <w:r w:rsidRPr="005C3284">
        <w:rPr>
          <w:rFonts w:eastAsiaTheme="minorHAnsi"/>
          <w:sz w:val="20"/>
          <w:szCs w:val="20"/>
          <w:lang w:val="en-US"/>
        </w:rPr>
        <w:t>be larger than the field-aligned potential drop in the corresponding inverted V/LSEAE</w:t>
      </w:r>
      <w:r w:rsidR="00A226FC">
        <w:rPr>
          <w:rFonts w:eastAsiaTheme="minorHAnsi"/>
          <w:sz w:val="20"/>
          <w:szCs w:val="20"/>
          <w:lang w:val="en-US"/>
        </w:rPr>
        <w:t xml:space="preserve"> or</w:t>
      </w:r>
      <w:r>
        <w:rPr>
          <w:rFonts w:eastAsiaTheme="minorHAnsi"/>
          <w:sz w:val="20"/>
          <w:szCs w:val="20"/>
          <w:lang w:val="en-US"/>
        </w:rPr>
        <w:t xml:space="preserve"> of small-scale electrostatic structure difficult for observation (for example, near the cusp region)</w:t>
      </w:r>
      <w:r w:rsidRPr="005C3284">
        <w:rPr>
          <w:rFonts w:eastAsiaTheme="minorHAnsi"/>
          <w:sz w:val="20"/>
          <w:szCs w:val="20"/>
          <w:lang w:val="en-US"/>
        </w:rPr>
        <w:t>.</w:t>
      </w:r>
    </w:p>
    <w:p w14:paraId="06732C63" w14:textId="77777777" w:rsidR="00AD3182" w:rsidRDefault="00AD3182">
      <w:pPr>
        <w:ind w:firstLine="708"/>
        <w:jc w:val="both"/>
        <w:rPr>
          <w:lang w:val="en-US"/>
        </w:rPr>
      </w:pPr>
    </w:p>
    <w:p w14:paraId="3DAAB142" w14:textId="4A61C723" w:rsidR="00AD3182" w:rsidRPr="009616A8" w:rsidRDefault="00A90FDF" w:rsidP="00A90FDF">
      <w:pPr>
        <w:jc w:val="both"/>
        <w:rPr>
          <w:b/>
          <w:color w:val="1604C2"/>
          <w:sz w:val="20"/>
          <w:szCs w:val="20"/>
          <w:lang w:val="en-US"/>
        </w:rPr>
      </w:pPr>
      <w:r>
        <w:rPr>
          <w:b/>
          <w:sz w:val="20"/>
          <w:szCs w:val="20"/>
          <w:lang w:val="en-US"/>
        </w:rPr>
        <w:t xml:space="preserve">3. </w:t>
      </w:r>
      <w:r w:rsidRPr="009616A8">
        <w:rPr>
          <w:b/>
          <w:sz w:val="20"/>
          <w:szCs w:val="20"/>
          <w:lang w:val="en-US"/>
        </w:rPr>
        <w:t xml:space="preserve">Discussion and Conclusions </w:t>
      </w:r>
    </w:p>
    <w:p w14:paraId="35D491EF" w14:textId="3B258D17" w:rsidR="00E9726F" w:rsidRPr="00E9726F" w:rsidRDefault="00E9726F" w:rsidP="00E9726F">
      <w:pPr>
        <w:jc w:val="both"/>
        <w:rPr>
          <w:bCs/>
          <w:sz w:val="20"/>
          <w:szCs w:val="20"/>
          <w:lang w:val="en-US"/>
        </w:rPr>
      </w:pPr>
      <w:r w:rsidRPr="00E9726F">
        <w:rPr>
          <w:bCs/>
          <w:sz w:val="20"/>
          <w:szCs w:val="20"/>
          <w:lang w:val="en"/>
        </w:rPr>
        <w:t xml:space="preserve">Renewed interest in the formation of auroral structures by electrostatic </w:t>
      </w:r>
      <w:r w:rsidR="00A226FC">
        <w:rPr>
          <w:bCs/>
          <w:sz w:val="20"/>
          <w:szCs w:val="20"/>
          <w:lang w:val="en"/>
        </w:rPr>
        <w:t>field-aligned</w:t>
      </w:r>
      <w:r w:rsidRPr="00E9726F">
        <w:rPr>
          <w:bCs/>
          <w:sz w:val="20"/>
          <w:szCs w:val="20"/>
          <w:lang w:val="en"/>
        </w:rPr>
        <w:t xml:space="preserve"> fields stems from a growing body of observations—including those from the MMS mission (Ovchinnikov et al., 2024)—indicating the dominant role of such fields not only in large-scale magnetospheric dynamics but also in the generation of magnetospheric turbulence. Our discussion demonstrates that this issue is of paramount importance in auroral physics and, consequently, in addressing space weather prediction challenges.</w:t>
      </w:r>
    </w:p>
    <w:p w14:paraId="570C66EE" w14:textId="4F115AC4" w:rsidR="00E9726F" w:rsidRPr="00E9726F" w:rsidRDefault="001B435D" w:rsidP="00E9726F">
      <w:pPr>
        <w:autoSpaceDE w:val="0"/>
        <w:autoSpaceDN w:val="0"/>
        <w:adjustRightInd w:val="0"/>
        <w:rPr>
          <w:rFonts w:eastAsia="CMBX12"/>
          <w:bCs/>
          <w:sz w:val="20"/>
          <w:szCs w:val="20"/>
          <w:lang w:val="en"/>
        </w:rPr>
      </w:pPr>
      <w:r>
        <w:rPr>
          <w:rFonts w:eastAsia="CMBX12"/>
          <w:bCs/>
          <w:sz w:val="20"/>
          <w:szCs w:val="20"/>
          <w:lang w:val="en"/>
        </w:rPr>
        <w:t xml:space="preserve">     </w:t>
      </w:r>
      <w:r w:rsidR="00E9726F" w:rsidRPr="00E9726F">
        <w:rPr>
          <w:rFonts w:eastAsia="CMBX12"/>
          <w:bCs/>
          <w:sz w:val="20"/>
          <w:szCs w:val="20"/>
          <w:lang w:val="en"/>
        </w:rPr>
        <w:t>At this stage, the following points can be noted:</w:t>
      </w:r>
    </w:p>
    <w:p w14:paraId="11D58F75" w14:textId="28CB51C4" w:rsidR="00E9726F" w:rsidRPr="00E9726F" w:rsidRDefault="00E9726F" w:rsidP="00E9726F">
      <w:pPr>
        <w:autoSpaceDE w:val="0"/>
        <w:autoSpaceDN w:val="0"/>
        <w:adjustRightInd w:val="0"/>
        <w:rPr>
          <w:rFonts w:eastAsia="CMBX12"/>
          <w:bCs/>
          <w:sz w:val="20"/>
          <w:szCs w:val="20"/>
          <w:lang w:val="en"/>
        </w:rPr>
      </w:pPr>
      <w:r w:rsidRPr="00E9726F">
        <w:rPr>
          <w:rFonts w:eastAsia="CMBX12"/>
          <w:bCs/>
          <w:sz w:val="20"/>
          <w:szCs w:val="20"/>
          <w:lang w:val="en"/>
        </w:rPr>
        <w:t>•</w:t>
      </w:r>
      <w:r w:rsidRPr="00E9726F">
        <w:rPr>
          <w:rFonts w:eastAsia="CMBX12"/>
          <w:bCs/>
          <w:sz w:val="20"/>
          <w:szCs w:val="20"/>
          <w:lang w:val="en-US"/>
        </w:rPr>
        <w:t xml:space="preserve"> </w:t>
      </w:r>
      <w:r w:rsidRPr="00E9726F">
        <w:rPr>
          <w:rFonts w:eastAsia="CMBX12"/>
          <w:bCs/>
          <w:sz w:val="20"/>
          <w:szCs w:val="20"/>
          <w:lang w:val="en"/>
        </w:rPr>
        <w:t xml:space="preserve">The mechanism of cold plasma penetration into the region of </w:t>
      </w:r>
      <w:r w:rsidR="001B435D">
        <w:rPr>
          <w:bCs/>
          <w:sz w:val="20"/>
          <w:szCs w:val="20"/>
          <w:lang w:val="en"/>
        </w:rPr>
        <w:t>field-aligned</w:t>
      </w:r>
      <w:r w:rsidRPr="00E9726F">
        <w:rPr>
          <w:rFonts w:eastAsia="CMBX12"/>
          <w:bCs/>
          <w:sz w:val="20"/>
          <w:szCs w:val="20"/>
          <w:lang w:val="en"/>
        </w:rPr>
        <w:t xml:space="preserve"> potential drop can explain many observed features of auroral region formation.</w:t>
      </w:r>
    </w:p>
    <w:p w14:paraId="48ED2A8F" w14:textId="11400989" w:rsidR="00E9726F" w:rsidRPr="00E9726F" w:rsidRDefault="00E9726F" w:rsidP="00E9726F">
      <w:pPr>
        <w:autoSpaceDE w:val="0"/>
        <w:autoSpaceDN w:val="0"/>
        <w:adjustRightInd w:val="0"/>
        <w:rPr>
          <w:rFonts w:eastAsia="CMBX12"/>
          <w:bCs/>
          <w:sz w:val="20"/>
          <w:szCs w:val="20"/>
          <w:lang w:val="en"/>
        </w:rPr>
      </w:pPr>
      <w:r w:rsidRPr="00E9726F">
        <w:rPr>
          <w:rFonts w:eastAsia="CMBX12"/>
          <w:bCs/>
          <w:sz w:val="20"/>
          <w:szCs w:val="20"/>
          <w:lang w:val="en"/>
        </w:rPr>
        <w:t>•</w:t>
      </w:r>
      <w:r w:rsidRPr="00E9726F">
        <w:rPr>
          <w:rFonts w:eastAsia="CMBX12"/>
          <w:bCs/>
          <w:sz w:val="20"/>
          <w:szCs w:val="20"/>
          <w:lang w:val="en-US"/>
        </w:rPr>
        <w:t xml:space="preserve"> </w:t>
      </w:r>
      <w:r w:rsidRPr="00E9726F">
        <w:rPr>
          <w:rFonts w:eastAsia="CMBX12"/>
          <w:bCs/>
          <w:sz w:val="20"/>
          <w:szCs w:val="20"/>
          <w:lang w:val="en"/>
        </w:rPr>
        <w:t xml:space="preserve">It offers significant advantages over the </w:t>
      </w:r>
      <w:proofErr w:type="spellStart"/>
      <w:r w:rsidRPr="00E9726F">
        <w:rPr>
          <w:rFonts w:eastAsia="CMBX12"/>
          <w:bCs/>
          <w:sz w:val="20"/>
          <w:szCs w:val="20"/>
          <w:lang w:val="en"/>
        </w:rPr>
        <w:t>Alfvénic</w:t>
      </w:r>
      <w:proofErr w:type="spellEnd"/>
      <w:r w:rsidRPr="00E9726F">
        <w:rPr>
          <w:rFonts w:eastAsia="CMBX12"/>
          <w:bCs/>
          <w:sz w:val="20"/>
          <w:szCs w:val="20"/>
          <w:lang w:val="en"/>
        </w:rPr>
        <w:t xml:space="preserve"> acceleration mechanism, does not rely on unrealistic assumptions, and is supported by experimental observations.</w:t>
      </w:r>
    </w:p>
    <w:p w14:paraId="4D868C7C" w14:textId="7C6704CF" w:rsidR="00E9726F" w:rsidRPr="00E9726F" w:rsidRDefault="00E9726F" w:rsidP="00E9726F">
      <w:pPr>
        <w:autoSpaceDE w:val="0"/>
        <w:autoSpaceDN w:val="0"/>
        <w:adjustRightInd w:val="0"/>
        <w:rPr>
          <w:rFonts w:eastAsia="CMBX12"/>
          <w:bCs/>
          <w:sz w:val="20"/>
          <w:szCs w:val="20"/>
          <w:lang w:val="en-US"/>
        </w:rPr>
      </w:pPr>
      <w:r w:rsidRPr="00E9726F">
        <w:rPr>
          <w:rFonts w:eastAsia="CMBX12"/>
          <w:bCs/>
          <w:sz w:val="20"/>
          <w:szCs w:val="20"/>
          <w:lang w:val="en"/>
        </w:rPr>
        <w:t>•</w:t>
      </w:r>
      <w:r w:rsidRPr="00E9726F">
        <w:rPr>
          <w:rFonts w:eastAsia="CMBX12"/>
          <w:bCs/>
          <w:sz w:val="20"/>
          <w:szCs w:val="20"/>
          <w:lang w:val="en-US"/>
        </w:rPr>
        <w:t xml:space="preserve"> </w:t>
      </w:r>
      <w:r w:rsidRPr="00E9726F">
        <w:rPr>
          <w:rFonts w:eastAsia="CMBX12"/>
          <w:bCs/>
          <w:sz w:val="20"/>
          <w:szCs w:val="20"/>
          <w:lang w:val="en"/>
        </w:rPr>
        <w:t>It is crucial to intensify research aimed at clarifying the specific characteristics of this mechanism's operation.</w:t>
      </w:r>
    </w:p>
    <w:p w14:paraId="528C6B2D" w14:textId="77777777" w:rsidR="00AD3182" w:rsidRDefault="00AD3182">
      <w:pPr>
        <w:autoSpaceDE w:val="0"/>
        <w:autoSpaceDN w:val="0"/>
        <w:adjustRightInd w:val="0"/>
        <w:rPr>
          <w:rFonts w:eastAsia="CMBX12"/>
          <w:b/>
          <w:sz w:val="20"/>
          <w:szCs w:val="20"/>
          <w:lang w:val="en-US"/>
        </w:rPr>
      </w:pPr>
    </w:p>
    <w:p w14:paraId="093705A0" w14:textId="77777777" w:rsidR="00616414" w:rsidRDefault="00616414" w:rsidP="00616414">
      <w:pPr>
        <w:autoSpaceDE w:val="0"/>
        <w:autoSpaceDN w:val="0"/>
        <w:adjustRightInd w:val="0"/>
        <w:rPr>
          <w:b/>
          <w:sz w:val="20"/>
          <w:szCs w:val="20"/>
          <w:lang w:val="en-US"/>
        </w:rPr>
      </w:pPr>
      <w:r>
        <w:rPr>
          <w:rFonts w:eastAsia="CMBX12"/>
          <w:b/>
          <w:sz w:val="20"/>
          <w:szCs w:val="20"/>
          <w:lang w:val="en-US"/>
        </w:rPr>
        <w:t>Acknowledgments</w:t>
      </w:r>
    </w:p>
    <w:p w14:paraId="1EDF77AA" w14:textId="77777777" w:rsidR="00616414" w:rsidRPr="002A63CF" w:rsidRDefault="00616414" w:rsidP="00616414">
      <w:pPr>
        <w:autoSpaceDE w:val="0"/>
        <w:autoSpaceDN w:val="0"/>
        <w:adjustRightInd w:val="0"/>
        <w:rPr>
          <w:lang w:val="en-US"/>
        </w:rPr>
      </w:pPr>
      <w:r>
        <w:rPr>
          <w:sz w:val="20"/>
          <w:szCs w:val="20"/>
          <w:lang w:val="en-US"/>
        </w:rPr>
        <w:t xml:space="preserve">The study of EEA, ILO and </w:t>
      </w:r>
      <w:r w:rsidRPr="005E5837">
        <w:rPr>
          <w:sz w:val="20"/>
          <w:szCs w:val="20"/>
          <w:lang w:val="en-US"/>
        </w:rPr>
        <w:t>GIA</w:t>
      </w:r>
      <w:r>
        <w:rPr>
          <w:lang w:val="en-US"/>
        </w:rPr>
        <w:t xml:space="preserve"> </w:t>
      </w:r>
      <w:r>
        <w:rPr>
          <w:sz w:val="20"/>
          <w:szCs w:val="20"/>
          <w:lang w:val="en-US"/>
        </w:rPr>
        <w:t xml:space="preserve">was conducted under the state assignment of Lomonosov Moscow State University; the study of </w:t>
      </w:r>
      <w:proofErr w:type="spellStart"/>
      <w:r>
        <w:rPr>
          <w:sz w:val="20"/>
          <w:szCs w:val="20"/>
          <w:lang w:val="en-US"/>
        </w:rPr>
        <w:t>OIYand</w:t>
      </w:r>
      <w:proofErr w:type="spellEnd"/>
      <w:r>
        <w:rPr>
          <w:sz w:val="20"/>
          <w:szCs w:val="20"/>
          <w:lang w:val="en-US"/>
        </w:rPr>
        <w:t xml:space="preserve"> VGV was supported by RNF project </w:t>
      </w:r>
      <w:r w:rsidRPr="00FB2A24">
        <w:rPr>
          <w:sz w:val="20"/>
          <w:szCs w:val="20"/>
          <w:lang w:val="en-US"/>
        </w:rPr>
        <w:t xml:space="preserve">No. </w:t>
      </w:r>
      <w:r w:rsidRPr="00E647E2">
        <w:rPr>
          <w:sz w:val="20"/>
          <w:szCs w:val="20"/>
          <w:lang w:val="en-US"/>
        </w:rPr>
        <w:t>25-17-20038</w:t>
      </w:r>
      <w:r>
        <w:rPr>
          <w:sz w:val="20"/>
          <w:szCs w:val="20"/>
          <w:lang w:val="en-US"/>
        </w:rPr>
        <w:t xml:space="preserve"> and </w:t>
      </w:r>
      <w:r w:rsidRPr="00E647E2">
        <w:rPr>
          <w:sz w:val="20"/>
          <w:szCs w:val="20"/>
          <w:lang w:val="en"/>
        </w:rPr>
        <w:t>grant from the Ministry of Education and Science of the Murmansk Region</w:t>
      </w:r>
      <w:r w:rsidRPr="00E647E2">
        <w:rPr>
          <w:sz w:val="20"/>
          <w:szCs w:val="20"/>
          <w:lang w:val="en-US"/>
        </w:rPr>
        <w:t xml:space="preserve">; </w:t>
      </w:r>
      <w:r>
        <w:rPr>
          <w:sz w:val="20"/>
          <w:szCs w:val="20"/>
          <w:lang w:val="en-US"/>
        </w:rPr>
        <w:t>the</w:t>
      </w:r>
      <w:r w:rsidRPr="00E647E2">
        <w:rPr>
          <w:sz w:val="20"/>
          <w:szCs w:val="20"/>
          <w:lang w:val="en-US"/>
        </w:rPr>
        <w:t xml:space="preserve"> </w:t>
      </w:r>
      <w:r>
        <w:rPr>
          <w:sz w:val="20"/>
          <w:szCs w:val="20"/>
          <w:lang w:val="en-US"/>
        </w:rPr>
        <w:t>study</w:t>
      </w:r>
      <w:r w:rsidRPr="00E647E2">
        <w:rPr>
          <w:sz w:val="20"/>
          <w:szCs w:val="20"/>
          <w:lang w:val="en-US"/>
        </w:rPr>
        <w:t xml:space="preserve"> </w:t>
      </w:r>
      <w:r>
        <w:rPr>
          <w:sz w:val="20"/>
          <w:szCs w:val="20"/>
          <w:lang w:val="en-US"/>
        </w:rPr>
        <w:t>of</w:t>
      </w:r>
      <w:r w:rsidRPr="00E647E2">
        <w:rPr>
          <w:sz w:val="20"/>
          <w:szCs w:val="20"/>
          <w:lang w:val="en-US"/>
        </w:rPr>
        <w:t xml:space="preserve"> </w:t>
      </w:r>
      <w:r>
        <w:rPr>
          <w:sz w:val="20"/>
          <w:szCs w:val="20"/>
          <w:lang w:val="en-US"/>
        </w:rPr>
        <w:t>MVS</w:t>
      </w:r>
      <w:r w:rsidRPr="00E647E2">
        <w:rPr>
          <w:sz w:val="20"/>
          <w:szCs w:val="20"/>
          <w:lang w:val="en-US"/>
        </w:rPr>
        <w:t xml:space="preserve"> </w:t>
      </w:r>
      <w:r>
        <w:rPr>
          <w:rFonts w:eastAsia="CMR12"/>
          <w:sz w:val="20"/>
          <w:szCs w:val="20"/>
          <w:lang w:val="en-US"/>
        </w:rPr>
        <w:t>by</w:t>
      </w:r>
      <w:r w:rsidRPr="00E647E2">
        <w:rPr>
          <w:rFonts w:eastAsia="CMR12"/>
          <w:sz w:val="20"/>
          <w:szCs w:val="20"/>
          <w:lang w:val="en-US"/>
        </w:rPr>
        <w:t xml:space="preserve"> </w:t>
      </w:r>
      <w:r w:rsidRPr="00965470">
        <w:rPr>
          <w:rFonts w:eastAsia="CMR12"/>
          <w:sz w:val="20"/>
          <w:szCs w:val="20"/>
          <w:lang w:val="en-US"/>
        </w:rPr>
        <w:t>FONDECYT</w:t>
      </w:r>
      <w:r w:rsidRPr="00E647E2">
        <w:rPr>
          <w:rFonts w:eastAsia="CMR12"/>
          <w:sz w:val="20"/>
          <w:szCs w:val="20"/>
          <w:lang w:val="en-US"/>
        </w:rPr>
        <w:t xml:space="preserve"> </w:t>
      </w:r>
      <w:r w:rsidRPr="00965470">
        <w:rPr>
          <w:rFonts w:eastAsia="CMR12"/>
          <w:sz w:val="20"/>
          <w:szCs w:val="20"/>
          <w:lang w:val="en-US"/>
        </w:rPr>
        <w:t>Regular</w:t>
      </w:r>
      <w:r w:rsidRPr="00E647E2">
        <w:rPr>
          <w:rFonts w:eastAsia="CMR12"/>
          <w:sz w:val="20"/>
          <w:szCs w:val="20"/>
          <w:lang w:val="en-US"/>
        </w:rPr>
        <w:t xml:space="preserve"> </w:t>
      </w:r>
      <w:r w:rsidRPr="00965470">
        <w:rPr>
          <w:rFonts w:eastAsia="CMR12"/>
          <w:sz w:val="20"/>
          <w:szCs w:val="20"/>
          <w:lang w:val="en-US"/>
        </w:rPr>
        <w:t>No</w:t>
      </w:r>
      <w:r w:rsidRPr="00E647E2">
        <w:rPr>
          <w:rFonts w:eastAsia="CMR12"/>
          <w:sz w:val="20"/>
          <w:szCs w:val="20"/>
          <w:lang w:val="en-US"/>
        </w:rPr>
        <w:t xml:space="preserve"> 1252149.</w:t>
      </w:r>
    </w:p>
    <w:p w14:paraId="76B4BEF8" w14:textId="77777777" w:rsidR="00AD3182" w:rsidRDefault="00000000">
      <w:pPr>
        <w:jc w:val="both"/>
        <w:rPr>
          <w:bCs/>
          <w:sz w:val="20"/>
          <w:szCs w:val="20"/>
          <w:lang w:val="en-US"/>
        </w:rPr>
      </w:pPr>
      <w:r>
        <w:rPr>
          <w:bCs/>
          <w:sz w:val="20"/>
          <w:szCs w:val="20"/>
          <w:lang w:val="en-US"/>
        </w:rPr>
        <w:t xml:space="preserve">   </w:t>
      </w:r>
    </w:p>
    <w:p w14:paraId="427A504B" w14:textId="5AE47D10" w:rsidR="00AD3182" w:rsidRDefault="00000000">
      <w:pPr>
        <w:jc w:val="both"/>
        <w:rPr>
          <w:b/>
          <w:sz w:val="20"/>
          <w:szCs w:val="20"/>
          <w:lang w:val="es-ES"/>
        </w:rPr>
      </w:pPr>
      <w:r>
        <w:rPr>
          <w:bCs/>
          <w:sz w:val="20"/>
          <w:szCs w:val="20"/>
          <w:lang w:val="en-US"/>
        </w:rPr>
        <w:t xml:space="preserve"> </w:t>
      </w:r>
      <w:r>
        <w:rPr>
          <w:b/>
          <w:sz w:val="20"/>
          <w:szCs w:val="20"/>
          <w:lang w:val="es-ES"/>
        </w:rPr>
        <w:t>References</w:t>
      </w:r>
    </w:p>
    <w:p w14:paraId="1625A701" w14:textId="01F2E879" w:rsidR="00AC2375" w:rsidRPr="006B2227" w:rsidRDefault="00000000" w:rsidP="00AC2375">
      <w:pPr>
        <w:ind w:left="567" w:hanging="567"/>
        <w:rPr>
          <w:sz w:val="20"/>
          <w:szCs w:val="20"/>
          <w:lang w:val="en-US"/>
        </w:rPr>
      </w:pPr>
      <w:r w:rsidRPr="00AC2375">
        <w:rPr>
          <w:i/>
          <w:iCs/>
          <w:sz w:val="20"/>
          <w:szCs w:val="20"/>
        </w:rPr>
        <w:t xml:space="preserve"> </w:t>
      </w:r>
      <w:r w:rsidR="00AC2375" w:rsidRPr="006B2227">
        <w:rPr>
          <w:i/>
          <w:iCs/>
          <w:sz w:val="20"/>
          <w:szCs w:val="20"/>
          <w:lang w:val="en-US"/>
        </w:rPr>
        <w:t>Antonova E.E.</w:t>
      </w:r>
      <w:r w:rsidR="00AC2375" w:rsidRPr="006B2227">
        <w:rPr>
          <w:sz w:val="20"/>
          <w:szCs w:val="20"/>
          <w:lang w:val="en-US"/>
        </w:rPr>
        <w:t xml:space="preserve"> </w:t>
      </w:r>
      <w:r w:rsidR="00AC2375" w:rsidRPr="00410506">
        <w:rPr>
          <w:sz w:val="20"/>
          <w:szCs w:val="20"/>
          <w:lang w:val="en-US"/>
        </w:rPr>
        <w:t>(</w:t>
      </w:r>
      <w:r w:rsidR="00AC2375" w:rsidRPr="006B2227">
        <w:rPr>
          <w:sz w:val="20"/>
          <w:szCs w:val="20"/>
          <w:lang w:val="en-US"/>
        </w:rPr>
        <w:t>1979</w:t>
      </w:r>
      <w:r w:rsidR="00AC2375">
        <w:rPr>
          <w:sz w:val="20"/>
          <w:szCs w:val="20"/>
          <w:lang w:val="en-US"/>
        </w:rPr>
        <w:t>)</w:t>
      </w:r>
      <w:r w:rsidR="00AC2375" w:rsidRPr="006B2227">
        <w:rPr>
          <w:sz w:val="20"/>
          <w:szCs w:val="20"/>
          <w:lang w:val="en-US"/>
        </w:rPr>
        <w:t xml:space="preserve">. On the formation of the field-aligned potential difference, isotropic and collimated electron fluxes in the evening sector of the auroral magnetosphere (in Russian), </w:t>
      </w:r>
      <w:r w:rsidR="00AC2375" w:rsidRPr="00410506">
        <w:rPr>
          <w:sz w:val="20"/>
          <w:szCs w:val="20"/>
          <w:lang w:val="en-US"/>
        </w:rPr>
        <w:t>Geomagnetism Aeronomy</w:t>
      </w:r>
      <w:r w:rsidR="00AC2375">
        <w:rPr>
          <w:sz w:val="20"/>
          <w:szCs w:val="20"/>
          <w:lang w:val="en-US"/>
        </w:rPr>
        <w:t>.</w:t>
      </w:r>
      <w:r w:rsidR="00AC2375" w:rsidRPr="006B2227">
        <w:rPr>
          <w:sz w:val="20"/>
          <w:szCs w:val="20"/>
          <w:lang w:val="en-US"/>
        </w:rPr>
        <w:t xml:space="preserve"> </w:t>
      </w:r>
      <w:r w:rsidR="00AC2375">
        <w:rPr>
          <w:sz w:val="20"/>
          <w:szCs w:val="20"/>
          <w:lang w:val="en-US"/>
        </w:rPr>
        <w:t>V.</w:t>
      </w:r>
      <w:r w:rsidR="00AC2375" w:rsidRPr="006B2227">
        <w:rPr>
          <w:sz w:val="20"/>
          <w:szCs w:val="20"/>
          <w:lang w:val="en-US"/>
        </w:rPr>
        <w:t>19</w:t>
      </w:r>
      <w:r w:rsidR="00AC2375">
        <w:rPr>
          <w:sz w:val="20"/>
          <w:szCs w:val="20"/>
          <w:lang w:val="en-US"/>
        </w:rPr>
        <w:t xml:space="preserve"> No </w:t>
      </w:r>
      <w:r w:rsidR="00AC2375" w:rsidRPr="006B2227">
        <w:rPr>
          <w:sz w:val="20"/>
          <w:szCs w:val="20"/>
          <w:lang w:val="en-US"/>
        </w:rPr>
        <w:t>6</w:t>
      </w:r>
      <w:r w:rsidR="00AC2375">
        <w:rPr>
          <w:sz w:val="20"/>
          <w:szCs w:val="20"/>
          <w:lang w:val="en-US"/>
        </w:rPr>
        <w:t>. P.</w:t>
      </w:r>
      <w:r w:rsidR="00AC2375" w:rsidRPr="006B2227">
        <w:rPr>
          <w:sz w:val="20"/>
          <w:szCs w:val="20"/>
          <w:lang w:val="en-US"/>
        </w:rPr>
        <w:t xml:space="preserve"> 1064 –1069</w:t>
      </w:r>
      <w:r w:rsidR="00AC2375">
        <w:rPr>
          <w:sz w:val="20"/>
          <w:szCs w:val="20"/>
          <w:lang w:val="en-US"/>
        </w:rPr>
        <w:t>.</w:t>
      </w:r>
      <w:r w:rsidR="00AC2375" w:rsidRPr="006B2227">
        <w:rPr>
          <w:sz w:val="20"/>
          <w:szCs w:val="20"/>
          <w:lang w:val="en-US"/>
        </w:rPr>
        <w:t xml:space="preserve"> </w:t>
      </w:r>
      <w:r w:rsidR="00AC2375" w:rsidRPr="00951BD8">
        <w:rPr>
          <w:sz w:val="20"/>
          <w:szCs w:val="20"/>
          <w:lang w:val="en-US"/>
        </w:rPr>
        <w:t>Translation.</w:t>
      </w:r>
    </w:p>
    <w:p w14:paraId="3D8487B9" w14:textId="1A76FD26" w:rsidR="00AC2375" w:rsidRPr="002C1359" w:rsidRDefault="00AC2375" w:rsidP="00AC2375">
      <w:pPr>
        <w:autoSpaceDE w:val="0"/>
        <w:autoSpaceDN w:val="0"/>
        <w:adjustRightInd w:val="0"/>
        <w:ind w:left="567" w:hanging="567"/>
        <w:rPr>
          <w:color w:val="0070C0"/>
          <w:sz w:val="20"/>
          <w:szCs w:val="20"/>
          <w:lang w:val="en-US"/>
        </w:rPr>
      </w:pPr>
      <w:r w:rsidRPr="002C1359">
        <w:rPr>
          <w:i/>
          <w:iCs/>
          <w:color w:val="0070C0"/>
          <w:sz w:val="20"/>
          <w:szCs w:val="20"/>
          <w:lang w:val="en-US"/>
        </w:rPr>
        <w:t xml:space="preserve"> </w:t>
      </w:r>
      <w:r w:rsidRPr="00303FE7">
        <w:rPr>
          <w:i/>
          <w:iCs/>
          <w:color w:val="000000" w:themeColor="text1"/>
          <w:sz w:val="20"/>
          <w:szCs w:val="20"/>
          <w:lang w:val="en-US"/>
        </w:rPr>
        <w:t>Antonova E.E.</w:t>
      </w:r>
      <w:r w:rsidRPr="00303FE7">
        <w:rPr>
          <w:color w:val="000000" w:themeColor="text1"/>
          <w:sz w:val="20"/>
          <w:szCs w:val="20"/>
          <w:lang w:val="en-US"/>
        </w:rPr>
        <w:t xml:space="preserve"> (2022). From physics of polar aurora to changes of the fundamental approaches to the physics of the magnetospheric processes. Front. Astron. Space Sci. V. 9:1045689. doi:10.3389/fspas.2022.1045689</w:t>
      </w:r>
    </w:p>
    <w:p w14:paraId="205791CC" w14:textId="540D3A00" w:rsidR="00AC2375" w:rsidRPr="0068156A" w:rsidRDefault="00AC2375" w:rsidP="00AC2375">
      <w:pPr>
        <w:autoSpaceDE w:val="0"/>
        <w:autoSpaceDN w:val="0"/>
        <w:adjustRightInd w:val="0"/>
        <w:ind w:left="567" w:hanging="567"/>
        <w:rPr>
          <w:rFonts w:eastAsia="STIX-Regular"/>
          <w:color w:val="000000" w:themeColor="text1"/>
          <w:sz w:val="20"/>
          <w:szCs w:val="20"/>
          <w:lang w:val="en-US"/>
        </w:rPr>
      </w:pPr>
      <w:r w:rsidRPr="0068156A">
        <w:rPr>
          <w:rFonts w:eastAsia="STIX-Regular"/>
          <w:i/>
          <w:iCs/>
          <w:color w:val="000000" w:themeColor="text1"/>
          <w:sz w:val="20"/>
          <w:szCs w:val="20"/>
          <w:lang w:val="en-US"/>
        </w:rPr>
        <w:t>Antonova E.E., Stepanova M.V., Kirpichev I.P.</w:t>
      </w:r>
      <w:r w:rsidRPr="0068156A">
        <w:rPr>
          <w:rFonts w:eastAsia="STIX-Regular"/>
          <w:color w:val="000000" w:themeColor="text1"/>
          <w:sz w:val="20"/>
          <w:szCs w:val="20"/>
          <w:lang w:val="en-US"/>
        </w:rPr>
        <w:t xml:space="preserve"> (2023). Main features of magnetospheric dynamics in the conditions of pressure balance. </w:t>
      </w:r>
      <w:r w:rsidRPr="0068156A">
        <w:rPr>
          <w:rFonts w:eastAsia="STIX-Regular"/>
          <w:iCs/>
          <w:color w:val="000000" w:themeColor="text1"/>
          <w:sz w:val="20"/>
          <w:szCs w:val="20"/>
          <w:lang w:val="en-US"/>
        </w:rPr>
        <w:t>J. Atmos. Solar</w:t>
      </w:r>
      <w:r w:rsidRPr="0068156A">
        <w:rPr>
          <w:rFonts w:ascii="Cambria Math" w:eastAsia="STIX-Regular" w:hAnsi="Cambria Math" w:cs="Cambria Math"/>
          <w:iCs/>
          <w:color w:val="000000" w:themeColor="text1"/>
          <w:sz w:val="20"/>
          <w:szCs w:val="20"/>
          <w:lang w:val="en-US"/>
        </w:rPr>
        <w:t>‐</w:t>
      </w:r>
      <w:r w:rsidRPr="0068156A">
        <w:rPr>
          <w:rFonts w:eastAsia="STIX-Regular"/>
          <w:iCs/>
          <w:color w:val="000000" w:themeColor="text1"/>
          <w:sz w:val="20"/>
          <w:szCs w:val="20"/>
          <w:lang w:val="en-US"/>
        </w:rPr>
        <w:t>Terr. Phys.</w:t>
      </w:r>
      <w:r w:rsidRPr="0068156A">
        <w:rPr>
          <w:rFonts w:eastAsia="STIX-Regular"/>
          <w:color w:val="000000" w:themeColor="text1"/>
          <w:sz w:val="20"/>
          <w:szCs w:val="20"/>
          <w:lang w:val="en-US"/>
        </w:rPr>
        <w:t xml:space="preserve"> V. </w:t>
      </w:r>
      <w:r w:rsidRPr="0068156A">
        <w:rPr>
          <w:rFonts w:eastAsia="STIX-Regular"/>
          <w:iCs/>
          <w:color w:val="000000" w:themeColor="text1"/>
          <w:sz w:val="20"/>
          <w:szCs w:val="20"/>
          <w:lang w:val="en-US"/>
        </w:rPr>
        <w:t>242</w:t>
      </w:r>
      <w:r w:rsidRPr="0068156A">
        <w:rPr>
          <w:rFonts w:eastAsia="STIX-Regular"/>
          <w:color w:val="000000" w:themeColor="text1"/>
          <w:sz w:val="20"/>
          <w:szCs w:val="20"/>
          <w:lang w:val="en-US"/>
        </w:rPr>
        <w:t xml:space="preserve">, 105994. </w:t>
      </w:r>
      <w:proofErr w:type="gramStart"/>
      <w:r w:rsidRPr="0068156A">
        <w:rPr>
          <w:rFonts w:eastAsia="STIX-Regular"/>
          <w:color w:val="000000" w:themeColor="text1"/>
          <w:sz w:val="20"/>
          <w:szCs w:val="20"/>
          <w:lang w:val="en-US"/>
        </w:rPr>
        <w:t>doi:10.1016/j.jastp</w:t>
      </w:r>
      <w:proofErr w:type="gramEnd"/>
      <w:r w:rsidRPr="0068156A">
        <w:rPr>
          <w:rFonts w:eastAsia="STIX-Regular"/>
          <w:color w:val="000000" w:themeColor="text1"/>
          <w:sz w:val="20"/>
          <w:szCs w:val="20"/>
          <w:lang w:val="en-US"/>
        </w:rPr>
        <w:t>.2022.105994</w:t>
      </w:r>
    </w:p>
    <w:p w14:paraId="5A810923" w14:textId="631C69A1" w:rsidR="00AC2375" w:rsidRDefault="00AC2375" w:rsidP="00AC2375">
      <w:pPr>
        <w:autoSpaceDE w:val="0"/>
        <w:autoSpaceDN w:val="0"/>
        <w:adjustRightInd w:val="0"/>
        <w:ind w:left="567" w:hanging="567"/>
        <w:rPr>
          <w:rFonts w:eastAsia="STIX-Regular"/>
          <w:color w:val="000000" w:themeColor="text1"/>
          <w:sz w:val="20"/>
          <w:szCs w:val="20"/>
          <w:lang w:val="en-US"/>
        </w:rPr>
      </w:pPr>
      <w:r w:rsidRPr="0068156A">
        <w:rPr>
          <w:rFonts w:eastAsia="STIX-Regular"/>
          <w:i/>
          <w:iCs/>
          <w:color w:val="000000" w:themeColor="text1"/>
          <w:sz w:val="20"/>
          <w:szCs w:val="20"/>
          <w:lang w:val="en-US"/>
        </w:rPr>
        <w:t xml:space="preserve">Antonova E.E., </w:t>
      </w:r>
      <w:proofErr w:type="spellStart"/>
      <w:r w:rsidRPr="0068156A">
        <w:rPr>
          <w:rFonts w:eastAsia="STIX-Regular"/>
          <w:i/>
          <w:iCs/>
          <w:color w:val="000000" w:themeColor="text1"/>
          <w:sz w:val="20"/>
          <w:szCs w:val="20"/>
          <w:lang w:val="en-US"/>
        </w:rPr>
        <w:t>Kirpichev</w:t>
      </w:r>
      <w:proofErr w:type="spellEnd"/>
      <w:r w:rsidRPr="0068156A">
        <w:rPr>
          <w:rFonts w:eastAsia="STIX-Regular"/>
          <w:i/>
          <w:iCs/>
          <w:color w:val="000000" w:themeColor="text1"/>
          <w:sz w:val="20"/>
          <w:szCs w:val="20"/>
          <w:lang w:val="en-US"/>
        </w:rPr>
        <w:t xml:space="preserve"> I., Stepanova M.</w:t>
      </w:r>
      <w:r w:rsidRPr="0068156A">
        <w:rPr>
          <w:rFonts w:eastAsia="STIX-Regular"/>
          <w:color w:val="000000" w:themeColor="text1"/>
          <w:sz w:val="20"/>
          <w:szCs w:val="20"/>
          <w:lang w:val="en-US"/>
        </w:rPr>
        <w:t xml:space="preserve"> (2025</w:t>
      </w:r>
      <w:r>
        <w:rPr>
          <w:rFonts w:eastAsia="STIX-Regular"/>
          <w:color w:val="000000" w:themeColor="text1"/>
          <w:sz w:val="20"/>
          <w:szCs w:val="20"/>
          <w:lang w:val="en-US"/>
        </w:rPr>
        <w:t>a</w:t>
      </w:r>
      <w:r w:rsidRPr="0068156A">
        <w:rPr>
          <w:rFonts w:eastAsia="STIX-Regular"/>
          <w:color w:val="000000" w:themeColor="text1"/>
          <w:sz w:val="20"/>
          <w:szCs w:val="20"/>
          <w:lang w:val="en-US"/>
        </w:rPr>
        <w:t xml:space="preserve">). Hall scale in the Earth's magnetosphere and magnetospheric substorm. </w:t>
      </w:r>
      <w:r w:rsidRPr="0068156A">
        <w:rPr>
          <w:rFonts w:eastAsia="STIX-Regular"/>
          <w:iCs/>
          <w:color w:val="000000" w:themeColor="text1"/>
          <w:sz w:val="20"/>
          <w:szCs w:val="20"/>
          <w:lang w:val="en-US"/>
        </w:rPr>
        <w:t>Geophys. Res. Lett</w:t>
      </w:r>
      <w:r w:rsidRPr="0068156A">
        <w:rPr>
          <w:rFonts w:eastAsia="STIX-Regular"/>
          <w:color w:val="000000" w:themeColor="text1"/>
          <w:sz w:val="20"/>
          <w:szCs w:val="20"/>
          <w:lang w:val="en-US"/>
        </w:rPr>
        <w:t>. V. 52. e2024GL114315. doi:10.1029/2024GL114315</w:t>
      </w:r>
    </w:p>
    <w:p w14:paraId="23486F3D" w14:textId="77777777" w:rsidR="00AC2375" w:rsidRPr="003B66B3" w:rsidRDefault="00AC2375" w:rsidP="00AC2375">
      <w:pPr>
        <w:ind w:left="567" w:hanging="567"/>
        <w:rPr>
          <w:rFonts w:eastAsia="Newton-Regular"/>
          <w:color w:val="000000" w:themeColor="text1"/>
          <w:sz w:val="20"/>
          <w:szCs w:val="20"/>
          <w:lang w:val="en-US"/>
        </w:rPr>
      </w:pPr>
      <w:r w:rsidRPr="003B66B3">
        <w:rPr>
          <w:rFonts w:eastAsia="Newton-Regular"/>
          <w:bCs/>
          <w:i/>
          <w:iCs/>
          <w:color w:val="000000" w:themeColor="text1"/>
          <w:sz w:val="20"/>
          <w:szCs w:val="20"/>
          <w:lang w:val="en-US"/>
        </w:rPr>
        <w:t>Antonova</w:t>
      </w:r>
      <w:r w:rsidRPr="003B66B3">
        <w:rPr>
          <w:rFonts w:eastAsia="Newton-Regular"/>
          <w:bCs/>
          <w:i/>
          <w:iCs/>
          <w:color w:val="000000" w:themeColor="text1"/>
          <w:sz w:val="20"/>
          <w:szCs w:val="20"/>
          <w:vertAlign w:val="superscript"/>
          <w:lang w:val="en-US"/>
        </w:rPr>
        <w:t xml:space="preserve"> </w:t>
      </w:r>
      <w:r w:rsidRPr="003B66B3">
        <w:rPr>
          <w:rFonts w:eastAsia="Newton-Regular"/>
          <w:bCs/>
          <w:i/>
          <w:iCs/>
          <w:color w:val="000000" w:themeColor="text1"/>
          <w:sz w:val="20"/>
          <w:szCs w:val="20"/>
          <w:lang w:val="en-US"/>
        </w:rPr>
        <w:t xml:space="preserve">E.E., Stepanova M.V., Kirpichev I.P., </w:t>
      </w:r>
      <w:proofErr w:type="spellStart"/>
      <w:r w:rsidRPr="003B66B3">
        <w:rPr>
          <w:rFonts w:eastAsia="Newton-Regular"/>
          <w:bCs/>
          <w:i/>
          <w:iCs/>
          <w:color w:val="000000" w:themeColor="text1"/>
          <w:sz w:val="20"/>
          <w:szCs w:val="20"/>
          <w:lang w:val="en-US"/>
        </w:rPr>
        <w:t>Vorobjev</w:t>
      </w:r>
      <w:proofErr w:type="spellEnd"/>
      <w:r w:rsidRPr="003B66B3">
        <w:rPr>
          <w:rFonts w:eastAsia="Newton-Regular"/>
          <w:bCs/>
          <w:i/>
          <w:iCs/>
          <w:color w:val="000000" w:themeColor="text1"/>
          <w:sz w:val="20"/>
          <w:szCs w:val="20"/>
          <w:lang w:val="en-US"/>
        </w:rPr>
        <w:t xml:space="preserve"> V.G., </w:t>
      </w:r>
      <w:proofErr w:type="spellStart"/>
      <w:r w:rsidRPr="003B66B3">
        <w:rPr>
          <w:rFonts w:eastAsia="Newton-Regular"/>
          <w:bCs/>
          <w:i/>
          <w:iCs/>
          <w:color w:val="000000" w:themeColor="text1"/>
          <w:sz w:val="20"/>
          <w:szCs w:val="20"/>
          <w:lang w:val="en-US"/>
        </w:rPr>
        <w:t>Yagodkina</w:t>
      </w:r>
      <w:proofErr w:type="spellEnd"/>
      <w:r w:rsidRPr="003B66B3">
        <w:rPr>
          <w:rFonts w:eastAsia="Newton-Regular"/>
          <w:bCs/>
          <w:i/>
          <w:iCs/>
          <w:color w:val="000000" w:themeColor="text1"/>
          <w:sz w:val="20"/>
          <w:szCs w:val="20"/>
          <w:lang w:val="en-US"/>
        </w:rPr>
        <w:t xml:space="preserve"> O.I., Ovchinnikov I.L., Naiko </w:t>
      </w:r>
      <w:proofErr w:type="spellStart"/>
      <w:r w:rsidRPr="003B66B3">
        <w:rPr>
          <w:rFonts w:eastAsia="Newton-Regular"/>
          <w:bCs/>
          <w:i/>
          <w:iCs/>
          <w:color w:val="000000" w:themeColor="text1"/>
          <w:sz w:val="20"/>
          <w:szCs w:val="20"/>
          <w:lang w:val="en-US"/>
        </w:rPr>
        <w:t>D.Yu</w:t>
      </w:r>
      <w:proofErr w:type="spellEnd"/>
      <w:r w:rsidRPr="0068156A">
        <w:rPr>
          <w:rFonts w:eastAsia="Newton-Regular"/>
          <w:bCs/>
          <w:color w:val="000000" w:themeColor="text1"/>
          <w:sz w:val="20"/>
          <w:szCs w:val="20"/>
          <w:lang w:val="en-US"/>
        </w:rPr>
        <w:t>.</w:t>
      </w:r>
      <w:r>
        <w:rPr>
          <w:rFonts w:eastAsia="Newton-Regular"/>
          <w:bCs/>
          <w:color w:val="000000" w:themeColor="text1"/>
          <w:sz w:val="20"/>
          <w:szCs w:val="20"/>
          <w:lang w:val="en-US"/>
        </w:rPr>
        <w:t xml:space="preserve"> (</w:t>
      </w:r>
      <w:r w:rsidRPr="003B66B3">
        <w:rPr>
          <w:color w:val="000000" w:themeColor="text1"/>
          <w:sz w:val="20"/>
          <w:szCs w:val="20"/>
          <w:lang w:val="en-US"/>
        </w:rPr>
        <w:t>2025b</w:t>
      </w:r>
      <w:r>
        <w:rPr>
          <w:color w:val="000000" w:themeColor="text1"/>
          <w:sz w:val="20"/>
          <w:szCs w:val="20"/>
          <w:lang w:val="en-US"/>
        </w:rPr>
        <w:t>)</w:t>
      </w:r>
      <w:r w:rsidRPr="003B66B3">
        <w:rPr>
          <w:color w:val="000000" w:themeColor="text1"/>
          <w:sz w:val="20"/>
          <w:szCs w:val="20"/>
          <w:lang w:val="en-US"/>
        </w:rPr>
        <w:t>.</w:t>
      </w:r>
      <w:r w:rsidRPr="003B66B3">
        <w:rPr>
          <w:rFonts w:eastAsia="Newton-Regular"/>
          <w:bCs/>
          <w:color w:val="000000" w:themeColor="text1"/>
          <w:sz w:val="20"/>
          <w:szCs w:val="20"/>
          <w:lang w:val="en-US"/>
        </w:rPr>
        <w:t xml:space="preserve"> </w:t>
      </w:r>
      <w:r w:rsidRPr="003B66B3">
        <w:rPr>
          <w:rFonts w:eastAsia="Newton-Regular"/>
          <w:bCs/>
          <w:color w:val="000000" w:themeColor="text1"/>
          <w:sz w:val="20"/>
          <w:szCs w:val="20"/>
          <w:lang w:val="en"/>
        </w:rPr>
        <w:t>Main characteristics of the first</w:t>
      </w:r>
      <w:r w:rsidRPr="003B66B3">
        <w:rPr>
          <w:rFonts w:eastAsia="Newton-Regular"/>
          <w:bCs/>
          <w:color w:val="000000" w:themeColor="text1"/>
          <w:sz w:val="20"/>
          <w:szCs w:val="20"/>
          <w:lang w:val="en-US"/>
        </w:rPr>
        <w:t xml:space="preserve"> auroral arc</w:t>
      </w:r>
      <w:r w:rsidRPr="003B66B3">
        <w:rPr>
          <w:rFonts w:eastAsia="Newton-Regular"/>
          <w:bCs/>
          <w:color w:val="000000" w:themeColor="text1"/>
          <w:sz w:val="20"/>
          <w:szCs w:val="20"/>
          <w:lang w:val="en"/>
        </w:rPr>
        <w:t xml:space="preserve"> brightening</w:t>
      </w:r>
      <w:r w:rsidRPr="003B66B3">
        <w:rPr>
          <w:rFonts w:eastAsia="Newton-Regular"/>
          <w:bCs/>
          <w:color w:val="000000" w:themeColor="text1"/>
          <w:sz w:val="20"/>
          <w:szCs w:val="20"/>
          <w:lang w:val="en-US"/>
        </w:rPr>
        <w:t xml:space="preserve"> </w:t>
      </w:r>
      <w:r w:rsidRPr="003B66B3">
        <w:rPr>
          <w:rFonts w:eastAsia="Newton-Regular"/>
          <w:bCs/>
          <w:color w:val="000000" w:themeColor="text1"/>
          <w:sz w:val="20"/>
          <w:szCs w:val="20"/>
          <w:lang w:val="en"/>
        </w:rPr>
        <w:t>and</w:t>
      </w:r>
      <w:r w:rsidRPr="003B66B3">
        <w:rPr>
          <w:rFonts w:eastAsia="Newton-Regular"/>
          <w:bCs/>
          <w:color w:val="000000" w:themeColor="text1"/>
          <w:sz w:val="20"/>
          <w:szCs w:val="20"/>
          <w:lang w:val="en-US"/>
        </w:rPr>
        <w:t xml:space="preserve"> </w:t>
      </w:r>
      <w:r w:rsidRPr="003B66B3">
        <w:rPr>
          <w:rFonts w:eastAsia="Newton-Regular"/>
          <w:bCs/>
          <w:color w:val="000000" w:themeColor="text1"/>
          <w:sz w:val="20"/>
          <w:szCs w:val="20"/>
          <w:lang w:val="en"/>
        </w:rPr>
        <w:t xml:space="preserve">substorm onset localization. </w:t>
      </w:r>
      <w:r w:rsidRPr="003B66B3">
        <w:rPr>
          <w:rFonts w:eastAsia="Newton-Regular"/>
          <w:bCs/>
          <w:color w:val="000000" w:themeColor="text1"/>
          <w:sz w:val="20"/>
          <w:szCs w:val="20"/>
          <w:lang w:val="en-US"/>
        </w:rPr>
        <w:t xml:space="preserve">“Physics of Auroral Phenomena”, Proc. XLVIII Annual Seminar, </w:t>
      </w:r>
      <w:proofErr w:type="spellStart"/>
      <w:proofErr w:type="gramStart"/>
      <w:r w:rsidRPr="003B66B3">
        <w:rPr>
          <w:rFonts w:eastAsia="Newton-Regular"/>
          <w:bCs/>
          <w:color w:val="000000" w:themeColor="text1"/>
          <w:sz w:val="20"/>
          <w:szCs w:val="20"/>
          <w:lang w:val="en-US"/>
        </w:rPr>
        <w:t>Apatity</w:t>
      </w:r>
      <w:proofErr w:type="spellEnd"/>
      <w:r w:rsidRPr="003B66B3">
        <w:rPr>
          <w:rFonts w:eastAsia="Newton-Regular"/>
          <w:bCs/>
          <w:color w:val="000000" w:themeColor="text1"/>
          <w:sz w:val="20"/>
          <w:szCs w:val="20"/>
          <w:lang w:val="en-US"/>
        </w:rPr>
        <w:t xml:space="preserve">, </w:t>
      </w:r>
      <w:r w:rsidRPr="003B66B3">
        <w:rPr>
          <w:color w:val="000000" w:themeColor="text1"/>
          <w:sz w:val="20"/>
          <w:szCs w:val="20"/>
          <w:lang w:val="en-US"/>
        </w:rPr>
        <w:t xml:space="preserve"> pp.</w:t>
      </w:r>
      <w:proofErr w:type="gramEnd"/>
      <w:r w:rsidRPr="003B66B3">
        <w:rPr>
          <w:color w:val="000000" w:themeColor="text1"/>
          <w:sz w:val="20"/>
          <w:szCs w:val="20"/>
          <w:lang w:val="en-US"/>
        </w:rPr>
        <w:t xml:space="preserve"> 11-14, </w:t>
      </w:r>
      <w:r>
        <w:rPr>
          <w:color w:val="000000" w:themeColor="text1"/>
          <w:sz w:val="20"/>
          <w:szCs w:val="20"/>
          <w:lang w:val="en-US"/>
        </w:rPr>
        <w:t>doi</w:t>
      </w:r>
      <w:r w:rsidRPr="003B66B3">
        <w:rPr>
          <w:color w:val="000000" w:themeColor="text1"/>
          <w:sz w:val="20"/>
          <w:szCs w:val="20"/>
          <w:lang w:val="en-US"/>
        </w:rPr>
        <w:t>:10.51981/2588-0039.2025.48.002</w:t>
      </w:r>
    </w:p>
    <w:p w14:paraId="2CE043BD" w14:textId="77777777" w:rsidR="00AC2375" w:rsidRDefault="00AC2375" w:rsidP="00AC2375">
      <w:pPr>
        <w:ind w:left="567" w:hanging="567"/>
        <w:rPr>
          <w:rFonts w:eastAsia="Newton-Regular"/>
          <w:color w:val="000000" w:themeColor="text1"/>
          <w:sz w:val="20"/>
          <w:szCs w:val="20"/>
          <w:lang w:val="en-US"/>
        </w:rPr>
      </w:pPr>
      <w:r w:rsidRPr="001064E6">
        <w:rPr>
          <w:rFonts w:eastAsia="Newton-Regular"/>
          <w:i/>
          <w:iCs/>
          <w:color w:val="000000" w:themeColor="text1"/>
          <w:sz w:val="20"/>
          <w:szCs w:val="20"/>
          <w:lang w:val="en-US"/>
        </w:rPr>
        <w:t>Antonova</w:t>
      </w:r>
      <w:r w:rsidRPr="006A071A">
        <w:rPr>
          <w:rFonts w:eastAsia="Newton-Regular"/>
          <w:i/>
          <w:iCs/>
          <w:color w:val="000000" w:themeColor="text1"/>
          <w:sz w:val="20"/>
          <w:szCs w:val="20"/>
          <w:lang w:val="en-US"/>
        </w:rPr>
        <w:t xml:space="preserve"> E.E.</w:t>
      </w:r>
      <w:r w:rsidRPr="001064E6">
        <w:rPr>
          <w:rFonts w:eastAsia="Newton-Regular"/>
          <w:i/>
          <w:iCs/>
          <w:color w:val="000000" w:themeColor="text1"/>
          <w:sz w:val="20"/>
          <w:szCs w:val="20"/>
          <w:lang w:val="en-US"/>
        </w:rPr>
        <w:t>, Ovchinnikov</w:t>
      </w:r>
      <w:r w:rsidRPr="006A071A">
        <w:rPr>
          <w:rFonts w:eastAsia="Newton-Regular"/>
          <w:i/>
          <w:iCs/>
          <w:color w:val="000000" w:themeColor="text1"/>
          <w:sz w:val="20"/>
          <w:szCs w:val="20"/>
          <w:lang w:val="en-US"/>
        </w:rPr>
        <w:t xml:space="preserve"> I.L.</w:t>
      </w:r>
      <w:r w:rsidRPr="001064E6">
        <w:rPr>
          <w:rFonts w:eastAsia="Newton-Regular"/>
          <w:i/>
          <w:iCs/>
          <w:color w:val="000000" w:themeColor="text1"/>
          <w:sz w:val="20"/>
          <w:szCs w:val="20"/>
          <w:lang w:val="en-US"/>
        </w:rPr>
        <w:t>, Naiko</w:t>
      </w:r>
      <w:r w:rsidRPr="006A071A">
        <w:rPr>
          <w:rFonts w:eastAsia="Newton-Regular"/>
          <w:i/>
          <w:iCs/>
          <w:color w:val="000000" w:themeColor="text1"/>
          <w:sz w:val="20"/>
          <w:szCs w:val="20"/>
          <w:lang w:val="en-US"/>
        </w:rPr>
        <w:t xml:space="preserve"> D.Y.</w:t>
      </w:r>
      <w:r w:rsidRPr="001064E6">
        <w:rPr>
          <w:rFonts w:eastAsia="Newton-Regular"/>
          <w:i/>
          <w:iCs/>
          <w:color w:val="000000" w:themeColor="text1"/>
          <w:sz w:val="20"/>
          <w:szCs w:val="20"/>
          <w:lang w:val="en-US"/>
        </w:rPr>
        <w:t>,</w:t>
      </w:r>
      <w:r w:rsidRPr="006A071A">
        <w:rPr>
          <w:rFonts w:eastAsia="Newton-Regular"/>
          <w:i/>
          <w:iCs/>
          <w:color w:val="000000" w:themeColor="text1"/>
          <w:sz w:val="20"/>
          <w:szCs w:val="20"/>
          <w:lang w:val="en-US"/>
        </w:rPr>
        <w:t xml:space="preserve"> </w:t>
      </w:r>
      <w:proofErr w:type="spellStart"/>
      <w:r w:rsidRPr="001064E6">
        <w:rPr>
          <w:rFonts w:eastAsia="Newton-Regular"/>
          <w:i/>
          <w:iCs/>
          <w:color w:val="000000" w:themeColor="text1"/>
          <w:sz w:val="20"/>
          <w:szCs w:val="20"/>
          <w:lang w:val="en-US"/>
        </w:rPr>
        <w:t>Kirpichev</w:t>
      </w:r>
      <w:proofErr w:type="spellEnd"/>
      <w:r w:rsidRPr="006A071A">
        <w:rPr>
          <w:rFonts w:eastAsia="Newton-Regular"/>
          <w:i/>
          <w:iCs/>
          <w:color w:val="000000" w:themeColor="text1"/>
          <w:sz w:val="20"/>
          <w:szCs w:val="20"/>
          <w:lang w:val="en-US"/>
        </w:rPr>
        <w:t xml:space="preserve"> I.P.</w:t>
      </w:r>
      <w:r w:rsidRPr="001064E6">
        <w:rPr>
          <w:rFonts w:eastAsia="Newton-Regular"/>
          <w:i/>
          <w:iCs/>
          <w:color w:val="000000" w:themeColor="text1"/>
          <w:sz w:val="20"/>
          <w:szCs w:val="20"/>
          <w:lang w:val="en-US"/>
        </w:rPr>
        <w:t xml:space="preserve">, </w:t>
      </w:r>
      <w:proofErr w:type="spellStart"/>
      <w:r w:rsidRPr="001064E6">
        <w:rPr>
          <w:rFonts w:eastAsia="Newton-Regular"/>
          <w:i/>
          <w:iCs/>
          <w:color w:val="000000" w:themeColor="text1"/>
          <w:sz w:val="20"/>
          <w:szCs w:val="20"/>
          <w:lang w:val="en-US"/>
        </w:rPr>
        <w:t>Vorobjev</w:t>
      </w:r>
      <w:proofErr w:type="spellEnd"/>
      <w:r w:rsidRPr="006A071A">
        <w:rPr>
          <w:rFonts w:eastAsia="Newton-Regular"/>
          <w:i/>
          <w:iCs/>
          <w:color w:val="000000" w:themeColor="text1"/>
          <w:sz w:val="20"/>
          <w:szCs w:val="20"/>
          <w:lang w:val="en-US"/>
        </w:rPr>
        <w:t xml:space="preserve"> V.G.</w:t>
      </w:r>
      <w:r w:rsidRPr="001064E6">
        <w:rPr>
          <w:rFonts w:eastAsia="Newton-Regular"/>
          <w:i/>
          <w:iCs/>
          <w:color w:val="000000" w:themeColor="text1"/>
          <w:sz w:val="20"/>
          <w:szCs w:val="20"/>
          <w:lang w:val="en-US"/>
        </w:rPr>
        <w:t xml:space="preserve">, </w:t>
      </w:r>
      <w:proofErr w:type="spellStart"/>
      <w:r w:rsidRPr="001064E6">
        <w:rPr>
          <w:rFonts w:eastAsia="Newton-Regular"/>
          <w:i/>
          <w:iCs/>
          <w:color w:val="000000" w:themeColor="text1"/>
          <w:sz w:val="20"/>
          <w:szCs w:val="20"/>
          <w:lang w:val="en-US"/>
        </w:rPr>
        <w:t>Yagodkina</w:t>
      </w:r>
      <w:proofErr w:type="spellEnd"/>
      <w:r w:rsidRPr="006A071A">
        <w:rPr>
          <w:rFonts w:eastAsia="Newton-Regular"/>
          <w:i/>
          <w:iCs/>
          <w:color w:val="000000" w:themeColor="text1"/>
          <w:sz w:val="20"/>
          <w:szCs w:val="20"/>
          <w:lang w:val="en-US"/>
        </w:rPr>
        <w:t xml:space="preserve"> O.I.</w:t>
      </w:r>
      <w:r w:rsidRPr="001064E6">
        <w:rPr>
          <w:rFonts w:eastAsia="Newton-Regular"/>
          <w:i/>
          <w:iCs/>
          <w:color w:val="000000" w:themeColor="text1"/>
          <w:sz w:val="20"/>
          <w:szCs w:val="20"/>
          <w:lang w:val="en-US"/>
        </w:rPr>
        <w:t>,</w:t>
      </w:r>
      <w:r w:rsidRPr="006A071A">
        <w:rPr>
          <w:rFonts w:eastAsia="Newton-Regular"/>
          <w:i/>
          <w:iCs/>
          <w:color w:val="000000" w:themeColor="text1"/>
          <w:sz w:val="20"/>
          <w:szCs w:val="20"/>
          <w:lang w:val="en-US"/>
        </w:rPr>
        <w:t xml:space="preserve"> Stepanova M.V.</w:t>
      </w:r>
      <w:r w:rsidRPr="006A071A">
        <w:rPr>
          <w:rFonts w:eastAsia="Newton-Regular"/>
          <w:color w:val="000000" w:themeColor="text1"/>
          <w:sz w:val="20"/>
          <w:szCs w:val="20"/>
          <w:lang w:val="en-US"/>
        </w:rPr>
        <w:t xml:space="preserve"> (2026). Plasma sheet turbulence and some f</w:t>
      </w:r>
      <w:r w:rsidRPr="001064E6">
        <w:rPr>
          <w:rFonts w:eastAsia="Newton-Regular"/>
          <w:color w:val="000000" w:themeColor="text1"/>
          <w:sz w:val="20"/>
          <w:szCs w:val="20"/>
          <w:lang w:val="en-US"/>
        </w:rPr>
        <w:t xml:space="preserve">eatures of </w:t>
      </w:r>
      <w:r w:rsidRPr="006A071A">
        <w:rPr>
          <w:rFonts w:eastAsia="Newton-Regular"/>
          <w:color w:val="000000" w:themeColor="text1"/>
          <w:sz w:val="20"/>
          <w:szCs w:val="20"/>
          <w:lang w:val="en-US"/>
        </w:rPr>
        <w:t>m</w:t>
      </w:r>
      <w:r w:rsidRPr="001064E6">
        <w:rPr>
          <w:rFonts w:eastAsia="Newton-Regular"/>
          <w:color w:val="000000" w:themeColor="text1"/>
          <w:sz w:val="20"/>
          <w:szCs w:val="20"/>
          <w:lang w:val="en-US"/>
        </w:rPr>
        <w:t xml:space="preserve">agnetospheric </w:t>
      </w:r>
      <w:r w:rsidRPr="006A071A">
        <w:rPr>
          <w:rFonts w:eastAsia="Newton-Regular"/>
          <w:color w:val="000000" w:themeColor="text1"/>
          <w:sz w:val="20"/>
          <w:szCs w:val="20"/>
          <w:lang w:val="en-US"/>
        </w:rPr>
        <w:t>d</w:t>
      </w:r>
      <w:r w:rsidRPr="001064E6">
        <w:rPr>
          <w:rFonts w:eastAsia="Newton-Regular"/>
          <w:color w:val="000000" w:themeColor="text1"/>
          <w:sz w:val="20"/>
          <w:szCs w:val="20"/>
          <w:lang w:val="en-US"/>
        </w:rPr>
        <w:t>ynamics:</w:t>
      </w:r>
      <w:r w:rsidRPr="006A071A">
        <w:rPr>
          <w:rFonts w:eastAsia="Newton-Regular"/>
          <w:color w:val="000000" w:themeColor="text1"/>
          <w:sz w:val="20"/>
          <w:szCs w:val="20"/>
          <w:lang w:val="en-US"/>
        </w:rPr>
        <w:t xml:space="preserve"> Brief Review. Proceedings of the XV Conference and School Problems of </w:t>
      </w:r>
      <w:proofErr w:type="spellStart"/>
      <w:r w:rsidRPr="006A071A">
        <w:rPr>
          <w:rFonts w:eastAsia="Newton-Regular"/>
          <w:color w:val="000000" w:themeColor="text1"/>
          <w:sz w:val="20"/>
          <w:szCs w:val="20"/>
          <w:lang w:val="en-US"/>
        </w:rPr>
        <w:t>Geocosmos</w:t>
      </w:r>
      <w:proofErr w:type="spellEnd"/>
      <w:r w:rsidRPr="006A071A">
        <w:rPr>
          <w:rFonts w:eastAsia="Newton-Regular"/>
          <w:color w:val="000000" w:themeColor="text1"/>
          <w:sz w:val="20"/>
          <w:szCs w:val="20"/>
          <w:lang w:val="en-US"/>
        </w:rPr>
        <w:t xml:space="preserve"> —2024 (St. Petersburg, Russia, April 22–26). P. 505-520. Springer.   doi:10.1007/978-3-031-92928-1_37</w:t>
      </w:r>
    </w:p>
    <w:p w14:paraId="32937590" w14:textId="77777777" w:rsidR="00AC2375" w:rsidRPr="004248E8" w:rsidRDefault="00AC2375" w:rsidP="00AC2375">
      <w:pPr>
        <w:ind w:left="567" w:hanging="567"/>
        <w:rPr>
          <w:sz w:val="20"/>
          <w:szCs w:val="20"/>
          <w:lang w:val="en-US"/>
        </w:rPr>
      </w:pPr>
      <w:r w:rsidRPr="004248E8">
        <w:rPr>
          <w:i/>
          <w:iCs/>
          <w:sz w:val="20"/>
          <w:szCs w:val="20"/>
          <w:lang w:val="en-US"/>
        </w:rPr>
        <w:t>Chen L., Hasegawa A.</w:t>
      </w:r>
      <w:r w:rsidRPr="004248E8">
        <w:rPr>
          <w:sz w:val="20"/>
          <w:szCs w:val="20"/>
          <w:lang w:val="en-US"/>
        </w:rPr>
        <w:t xml:space="preserve"> (1974). A theory of long-period magnetic pulsations. 1. Steady state excitation of field line resonance. Journal of</w:t>
      </w:r>
      <w:r>
        <w:rPr>
          <w:sz w:val="20"/>
          <w:szCs w:val="20"/>
          <w:lang w:val="en-US"/>
        </w:rPr>
        <w:t xml:space="preserve"> </w:t>
      </w:r>
      <w:r w:rsidRPr="004248E8">
        <w:rPr>
          <w:sz w:val="20"/>
          <w:szCs w:val="20"/>
          <w:lang w:val="en-US"/>
        </w:rPr>
        <w:t>Geophysical Research, 79, 1024–1032.</w:t>
      </w:r>
      <w:r>
        <w:rPr>
          <w:sz w:val="20"/>
          <w:szCs w:val="20"/>
          <w:lang w:val="en-US"/>
        </w:rPr>
        <w:t xml:space="preserve"> </w:t>
      </w:r>
      <w:r w:rsidRPr="004248E8">
        <w:rPr>
          <w:sz w:val="20"/>
          <w:szCs w:val="20"/>
          <w:lang w:val="en-US"/>
        </w:rPr>
        <w:t>doi</w:t>
      </w:r>
      <w:r>
        <w:rPr>
          <w:sz w:val="20"/>
          <w:szCs w:val="20"/>
          <w:lang w:val="en-US"/>
        </w:rPr>
        <w:t>:</w:t>
      </w:r>
      <w:r w:rsidRPr="004248E8">
        <w:rPr>
          <w:sz w:val="20"/>
          <w:szCs w:val="20"/>
          <w:lang w:val="en-US"/>
        </w:rPr>
        <w:t>10.1029/JA079i007p01024</w:t>
      </w:r>
    </w:p>
    <w:p w14:paraId="5E11EF3A" w14:textId="77777777" w:rsidR="00AC2375" w:rsidRDefault="00AC2375" w:rsidP="00AC2375">
      <w:pPr>
        <w:autoSpaceDE w:val="0"/>
        <w:autoSpaceDN w:val="0"/>
        <w:adjustRightInd w:val="0"/>
        <w:ind w:left="567" w:hanging="567"/>
        <w:rPr>
          <w:color w:val="000000" w:themeColor="text1"/>
          <w:sz w:val="20"/>
          <w:szCs w:val="20"/>
          <w:lang w:val="en-US"/>
        </w:rPr>
      </w:pPr>
      <w:proofErr w:type="spellStart"/>
      <w:r w:rsidRPr="00A00660">
        <w:rPr>
          <w:i/>
          <w:iCs/>
          <w:color w:val="000000" w:themeColor="text1"/>
          <w:sz w:val="20"/>
          <w:szCs w:val="20"/>
          <w:lang w:val="en-US"/>
        </w:rPr>
        <w:t>Kirpichev</w:t>
      </w:r>
      <w:proofErr w:type="spellEnd"/>
      <w:r w:rsidRPr="00A00660">
        <w:rPr>
          <w:i/>
          <w:iCs/>
          <w:color w:val="000000" w:themeColor="text1"/>
          <w:sz w:val="20"/>
          <w:szCs w:val="20"/>
          <w:lang w:val="en-US"/>
        </w:rPr>
        <w:t xml:space="preserve"> I.P., Antonova E.E., Stepanova M.V.</w:t>
      </w:r>
      <w:r w:rsidRPr="00022AAB">
        <w:rPr>
          <w:color w:val="000000" w:themeColor="text1"/>
          <w:sz w:val="20"/>
          <w:szCs w:val="20"/>
          <w:lang w:val="en-US"/>
        </w:rPr>
        <w:t xml:space="preserve"> (2023). On the relationship between regions of large-scale field-aligned currents and regions of plateau in plasma pressure observed in the equatorial plane of the Earth's magnetosphere. Geophysical Research Letters, 50, e2023GL105190. doi</w:t>
      </w:r>
      <w:r>
        <w:rPr>
          <w:color w:val="000000" w:themeColor="text1"/>
          <w:sz w:val="20"/>
          <w:szCs w:val="20"/>
          <w:lang w:val="en-US"/>
        </w:rPr>
        <w:t>:</w:t>
      </w:r>
      <w:r w:rsidRPr="00022AAB">
        <w:rPr>
          <w:color w:val="000000" w:themeColor="text1"/>
          <w:sz w:val="20"/>
          <w:szCs w:val="20"/>
          <w:lang w:val="en-US"/>
        </w:rPr>
        <w:t>10.1029/2023GL105190</w:t>
      </w:r>
    </w:p>
    <w:p w14:paraId="71135CB5" w14:textId="77777777" w:rsidR="00AC2375" w:rsidRPr="0068156A" w:rsidRDefault="00AC2375" w:rsidP="00AC2375">
      <w:pPr>
        <w:autoSpaceDE w:val="0"/>
        <w:autoSpaceDN w:val="0"/>
        <w:adjustRightInd w:val="0"/>
        <w:ind w:left="567" w:hanging="567"/>
        <w:rPr>
          <w:color w:val="000000" w:themeColor="text1"/>
          <w:sz w:val="20"/>
          <w:szCs w:val="20"/>
          <w:lang w:val="en-US"/>
        </w:rPr>
      </w:pPr>
      <w:r w:rsidRPr="00FE374D">
        <w:rPr>
          <w:i/>
          <w:iCs/>
          <w:color w:val="000000" w:themeColor="text1"/>
          <w:sz w:val="20"/>
          <w:szCs w:val="20"/>
          <w:lang w:val="en-US"/>
        </w:rPr>
        <w:t>Dombeck J., Cattell C., Prasad N.,</w:t>
      </w:r>
      <w:r w:rsidRPr="00ED2BAC">
        <w:rPr>
          <w:i/>
          <w:iCs/>
          <w:color w:val="000000" w:themeColor="text1"/>
          <w:sz w:val="20"/>
          <w:szCs w:val="20"/>
          <w:lang w:val="en-US"/>
        </w:rPr>
        <w:t xml:space="preserve"> </w:t>
      </w:r>
      <w:r w:rsidRPr="00FE374D">
        <w:rPr>
          <w:i/>
          <w:iCs/>
          <w:color w:val="000000" w:themeColor="text1"/>
          <w:sz w:val="20"/>
          <w:szCs w:val="20"/>
          <w:lang w:val="en-US"/>
        </w:rPr>
        <w:t xml:space="preserve">Meeker E., Hanson </w:t>
      </w:r>
      <w:proofErr w:type="spellStart"/>
      <w:proofErr w:type="gramStart"/>
      <w:r w:rsidRPr="00FE374D">
        <w:rPr>
          <w:i/>
          <w:iCs/>
          <w:color w:val="000000" w:themeColor="text1"/>
          <w:sz w:val="20"/>
          <w:szCs w:val="20"/>
          <w:lang w:val="en-US"/>
        </w:rPr>
        <w:t>E.,McFadden</w:t>
      </w:r>
      <w:proofErr w:type="spellEnd"/>
      <w:proofErr w:type="gramEnd"/>
      <w:r w:rsidRPr="00FE374D">
        <w:rPr>
          <w:i/>
          <w:iCs/>
          <w:color w:val="000000" w:themeColor="text1"/>
          <w:sz w:val="20"/>
          <w:szCs w:val="20"/>
          <w:lang w:val="en-US"/>
        </w:rPr>
        <w:t xml:space="preserve"> J.</w:t>
      </w:r>
      <w:r>
        <w:rPr>
          <w:color w:val="000000" w:themeColor="text1"/>
          <w:sz w:val="20"/>
          <w:szCs w:val="20"/>
          <w:lang w:val="en-US"/>
        </w:rPr>
        <w:t xml:space="preserve"> </w:t>
      </w:r>
      <w:r w:rsidRPr="00FE374D">
        <w:rPr>
          <w:color w:val="000000" w:themeColor="text1"/>
          <w:sz w:val="20"/>
          <w:szCs w:val="20"/>
          <w:lang w:val="en-US"/>
        </w:rPr>
        <w:t>(2018). Identification of auroral electron</w:t>
      </w:r>
      <w:r>
        <w:rPr>
          <w:color w:val="000000" w:themeColor="text1"/>
          <w:sz w:val="20"/>
          <w:szCs w:val="20"/>
          <w:lang w:val="en-US"/>
        </w:rPr>
        <w:t xml:space="preserve"> </w:t>
      </w:r>
      <w:r w:rsidRPr="00FE374D">
        <w:rPr>
          <w:color w:val="000000" w:themeColor="text1"/>
          <w:sz w:val="20"/>
          <w:szCs w:val="20"/>
          <w:lang w:val="en-US"/>
        </w:rPr>
        <w:t>precipitation mechanism combinations</w:t>
      </w:r>
      <w:r>
        <w:rPr>
          <w:color w:val="000000" w:themeColor="text1"/>
          <w:sz w:val="20"/>
          <w:szCs w:val="20"/>
          <w:lang w:val="en-US"/>
        </w:rPr>
        <w:t xml:space="preserve"> </w:t>
      </w:r>
      <w:r w:rsidRPr="00FE374D">
        <w:rPr>
          <w:color w:val="000000" w:themeColor="text1"/>
          <w:sz w:val="20"/>
          <w:szCs w:val="20"/>
          <w:lang w:val="en-US"/>
        </w:rPr>
        <w:t>and their relationships to net</w:t>
      </w:r>
      <w:r>
        <w:rPr>
          <w:color w:val="000000" w:themeColor="text1"/>
          <w:sz w:val="20"/>
          <w:szCs w:val="20"/>
          <w:lang w:val="en-US"/>
        </w:rPr>
        <w:t xml:space="preserve"> </w:t>
      </w:r>
      <w:proofErr w:type="spellStart"/>
      <w:r w:rsidRPr="00FE374D">
        <w:rPr>
          <w:color w:val="000000" w:themeColor="text1"/>
          <w:sz w:val="20"/>
          <w:szCs w:val="20"/>
          <w:lang w:val="en-US"/>
        </w:rPr>
        <w:t>downgoing</w:t>
      </w:r>
      <w:proofErr w:type="spellEnd"/>
      <w:r w:rsidRPr="00FE374D">
        <w:rPr>
          <w:color w:val="000000" w:themeColor="text1"/>
          <w:sz w:val="20"/>
          <w:szCs w:val="20"/>
          <w:lang w:val="en-US"/>
        </w:rPr>
        <w:t xml:space="preserve"> energy and number flux.</w:t>
      </w:r>
      <w:r>
        <w:rPr>
          <w:color w:val="000000" w:themeColor="text1"/>
          <w:sz w:val="20"/>
          <w:szCs w:val="20"/>
          <w:lang w:val="en-US"/>
        </w:rPr>
        <w:t xml:space="preserve"> </w:t>
      </w:r>
      <w:r w:rsidRPr="00FE374D">
        <w:rPr>
          <w:color w:val="000000" w:themeColor="text1"/>
          <w:sz w:val="20"/>
          <w:szCs w:val="20"/>
          <w:lang w:val="en-US"/>
        </w:rPr>
        <w:t>Journal of Geophysical Research: Space</w:t>
      </w:r>
      <w:r>
        <w:rPr>
          <w:color w:val="000000" w:themeColor="text1"/>
          <w:sz w:val="20"/>
          <w:szCs w:val="20"/>
          <w:lang w:val="en-US"/>
        </w:rPr>
        <w:t xml:space="preserve"> </w:t>
      </w:r>
      <w:r w:rsidRPr="00FE374D">
        <w:rPr>
          <w:color w:val="000000" w:themeColor="text1"/>
          <w:sz w:val="20"/>
          <w:szCs w:val="20"/>
          <w:lang w:val="en-US"/>
        </w:rPr>
        <w:t>Physics, 123, 10,064–10,089. https://doi.org/10.1029/2018JA025749</w:t>
      </w:r>
    </w:p>
    <w:p w14:paraId="0ED88764" w14:textId="77777777" w:rsidR="00AC2375" w:rsidRPr="001A325D" w:rsidRDefault="00AC2375" w:rsidP="00AC2375">
      <w:pPr>
        <w:autoSpaceDE w:val="0"/>
        <w:autoSpaceDN w:val="0"/>
        <w:adjustRightInd w:val="0"/>
        <w:ind w:left="567" w:hanging="567"/>
        <w:rPr>
          <w:rFonts w:eastAsiaTheme="minorHAnsi"/>
          <w:sz w:val="20"/>
          <w:szCs w:val="20"/>
          <w:lang w:val="en-US"/>
        </w:rPr>
      </w:pPr>
      <w:proofErr w:type="spellStart"/>
      <w:r w:rsidRPr="001A325D">
        <w:rPr>
          <w:rFonts w:eastAsiaTheme="minorHAnsi"/>
          <w:i/>
          <w:iCs/>
          <w:sz w:val="20"/>
          <w:szCs w:val="20"/>
          <w:lang w:val="en-US"/>
        </w:rPr>
        <w:t>Dubyagin</w:t>
      </w:r>
      <w:proofErr w:type="spellEnd"/>
      <w:r w:rsidRPr="001A325D">
        <w:rPr>
          <w:rFonts w:eastAsiaTheme="minorHAnsi"/>
          <w:i/>
          <w:iCs/>
          <w:sz w:val="20"/>
          <w:szCs w:val="20"/>
          <w:lang w:val="en-US"/>
        </w:rPr>
        <w:t xml:space="preserve"> S.V., Sergeev V.A., Carlson C.W., Marple S.R., Pulkkinen T.I., </w:t>
      </w:r>
      <w:proofErr w:type="spellStart"/>
      <w:r w:rsidRPr="001A325D">
        <w:rPr>
          <w:rFonts w:eastAsiaTheme="minorHAnsi"/>
          <w:i/>
          <w:iCs/>
          <w:sz w:val="20"/>
          <w:szCs w:val="20"/>
          <w:lang w:val="en-US"/>
        </w:rPr>
        <w:t>Yahnin</w:t>
      </w:r>
      <w:proofErr w:type="spellEnd"/>
      <w:r w:rsidRPr="001A325D">
        <w:rPr>
          <w:rFonts w:eastAsiaTheme="minorHAnsi"/>
          <w:i/>
          <w:iCs/>
          <w:sz w:val="20"/>
          <w:szCs w:val="20"/>
          <w:lang w:val="en-US"/>
        </w:rPr>
        <w:t xml:space="preserve"> A.G.</w:t>
      </w:r>
      <w:r w:rsidRPr="001A325D">
        <w:rPr>
          <w:rFonts w:eastAsiaTheme="minorHAnsi"/>
          <w:sz w:val="20"/>
          <w:szCs w:val="20"/>
          <w:lang w:val="en-US"/>
        </w:rPr>
        <w:t xml:space="preserve"> (2003). Evidence of near-Earth breakup location. Geophys. Res. Lett., V. 30. Issue 6. </w:t>
      </w:r>
      <w:proofErr w:type="spellStart"/>
      <w:r w:rsidRPr="001A325D">
        <w:rPr>
          <w:rFonts w:eastAsiaTheme="minorHAnsi"/>
          <w:sz w:val="20"/>
          <w:szCs w:val="20"/>
          <w:lang w:val="en-US"/>
        </w:rPr>
        <w:t>CiteID</w:t>
      </w:r>
      <w:proofErr w:type="spellEnd"/>
      <w:r w:rsidRPr="001A325D">
        <w:rPr>
          <w:rFonts w:eastAsiaTheme="minorHAnsi"/>
          <w:sz w:val="20"/>
          <w:szCs w:val="20"/>
          <w:lang w:val="en-US"/>
        </w:rPr>
        <w:t xml:space="preserve"> 1282. doi:10.1029/2002GL016569</w:t>
      </w:r>
    </w:p>
    <w:p w14:paraId="23CEAFB7" w14:textId="77777777" w:rsidR="00AC2375" w:rsidRDefault="00AC2375" w:rsidP="00AC2375">
      <w:pPr>
        <w:autoSpaceDE w:val="0"/>
        <w:autoSpaceDN w:val="0"/>
        <w:adjustRightInd w:val="0"/>
        <w:ind w:left="567" w:hanging="567"/>
        <w:rPr>
          <w:rFonts w:eastAsiaTheme="minorHAnsi"/>
          <w:color w:val="000000" w:themeColor="text1"/>
          <w:sz w:val="20"/>
          <w:szCs w:val="20"/>
          <w:lang w:val="en-US" w:eastAsia="en-US"/>
        </w:rPr>
      </w:pPr>
      <w:r w:rsidRPr="00A00660">
        <w:rPr>
          <w:rFonts w:eastAsiaTheme="minorHAnsi"/>
          <w:i/>
          <w:iCs/>
          <w:color w:val="000000" w:themeColor="text1"/>
          <w:sz w:val="20"/>
          <w:szCs w:val="20"/>
          <w:lang w:val="en-US" w:eastAsia="en-US"/>
        </w:rPr>
        <w:t>Kornilov I.A., Antonova E.E., Kornilova T.A., Kornilov, O.I.</w:t>
      </w:r>
      <w:r w:rsidRPr="00A00660">
        <w:rPr>
          <w:rFonts w:eastAsiaTheme="minorHAnsi"/>
          <w:color w:val="000000" w:themeColor="text1"/>
          <w:sz w:val="20"/>
          <w:szCs w:val="20"/>
          <w:lang w:val="en-US" w:eastAsia="en-US"/>
        </w:rPr>
        <w:t xml:space="preserve"> (2008). Fine structure of auroras during auroral breakup according to the ground-based and satellite observations. Geomagnetism and Aeronomy, V. 48, Issue 1. P. 7-19. doi:10.1134/S0016793208010027</w:t>
      </w:r>
    </w:p>
    <w:p w14:paraId="4B37D5A6" w14:textId="77777777" w:rsidR="00AC2375" w:rsidRPr="006C6F40" w:rsidRDefault="00AC2375" w:rsidP="00AC2375">
      <w:pPr>
        <w:ind w:left="567" w:hanging="567"/>
        <w:rPr>
          <w:sz w:val="20"/>
          <w:szCs w:val="20"/>
          <w:lang w:val="en-US"/>
        </w:rPr>
      </w:pPr>
      <w:r w:rsidRPr="00044682">
        <w:rPr>
          <w:i/>
          <w:iCs/>
          <w:sz w:val="20"/>
          <w:szCs w:val="20"/>
          <w:lang w:val="en-US"/>
        </w:rPr>
        <w:t>McFadden J.P., Carlson C. W., Ergun R.E.</w:t>
      </w:r>
      <w:r>
        <w:rPr>
          <w:sz w:val="20"/>
          <w:szCs w:val="20"/>
          <w:lang w:val="en-US"/>
        </w:rPr>
        <w:t xml:space="preserve"> (1999). </w:t>
      </w:r>
      <w:r w:rsidRPr="006C6F40">
        <w:rPr>
          <w:sz w:val="20"/>
          <w:szCs w:val="20"/>
          <w:lang w:val="en-US"/>
        </w:rPr>
        <w:t>Microstructure of the auroral acceleration region as observe</w:t>
      </w:r>
      <w:r>
        <w:rPr>
          <w:sz w:val="20"/>
          <w:szCs w:val="20"/>
          <w:lang w:val="en-US"/>
        </w:rPr>
        <w:t xml:space="preserve">d </w:t>
      </w:r>
      <w:r w:rsidRPr="006C6F40">
        <w:rPr>
          <w:sz w:val="20"/>
          <w:szCs w:val="20"/>
          <w:lang w:val="en-US"/>
        </w:rPr>
        <w:t>by FAST</w:t>
      </w:r>
      <w:r w:rsidRPr="007E39BE">
        <w:rPr>
          <w:sz w:val="20"/>
          <w:szCs w:val="20"/>
          <w:lang w:val="en-US"/>
        </w:rPr>
        <w:t xml:space="preserve">. J. Geophys. Res.  V. </w:t>
      </w:r>
      <w:r w:rsidRPr="006C6F40">
        <w:rPr>
          <w:sz w:val="20"/>
          <w:szCs w:val="20"/>
          <w:lang w:val="en-US"/>
        </w:rPr>
        <w:t xml:space="preserve">104, </w:t>
      </w:r>
      <w:r>
        <w:rPr>
          <w:sz w:val="20"/>
          <w:szCs w:val="20"/>
          <w:lang w:val="en-US"/>
        </w:rPr>
        <w:t>No</w:t>
      </w:r>
      <w:r w:rsidRPr="006C6F40">
        <w:rPr>
          <w:sz w:val="20"/>
          <w:szCs w:val="20"/>
          <w:lang w:val="en-US"/>
        </w:rPr>
        <w:t xml:space="preserve"> A7, PAGES 14,453-14,480</w:t>
      </w:r>
    </w:p>
    <w:p w14:paraId="380C16CC" w14:textId="77777777" w:rsidR="00AC2375" w:rsidRPr="005A5C69" w:rsidRDefault="00AC2375" w:rsidP="00AC2375">
      <w:pPr>
        <w:autoSpaceDE w:val="0"/>
        <w:autoSpaceDN w:val="0"/>
        <w:adjustRightInd w:val="0"/>
        <w:ind w:left="567" w:hanging="567"/>
        <w:rPr>
          <w:rFonts w:eastAsiaTheme="minorHAnsi"/>
          <w:sz w:val="20"/>
          <w:szCs w:val="20"/>
          <w:lang w:val="en-US" w:eastAsia="en-US"/>
        </w:rPr>
      </w:pPr>
      <w:r w:rsidRPr="005A5C69">
        <w:rPr>
          <w:rFonts w:eastAsiaTheme="minorHAnsi"/>
          <w:i/>
          <w:iCs/>
          <w:sz w:val="20"/>
          <w:szCs w:val="20"/>
          <w:lang w:val="en-US" w:eastAsia="en-US"/>
        </w:rPr>
        <w:t>Mende S.B., Carlson C.W., Frey H.U., Peticolas L.M</w:t>
      </w:r>
      <w:r w:rsidRPr="005A5C69">
        <w:rPr>
          <w:rFonts w:eastAsiaTheme="minorHAnsi"/>
          <w:sz w:val="20"/>
          <w:szCs w:val="20"/>
          <w:lang w:val="en-US" w:eastAsia="en-US"/>
        </w:rPr>
        <w:t xml:space="preserve">., </w:t>
      </w:r>
      <w:r w:rsidRPr="005A5C69">
        <w:rPr>
          <w:rFonts w:eastAsiaTheme="minorHAnsi"/>
          <w:i/>
          <w:iCs/>
          <w:sz w:val="20"/>
          <w:szCs w:val="20"/>
          <w:lang w:val="en-US" w:eastAsia="en-US"/>
        </w:rPr>
        <w:t>Østgaard N.</w:t>
      </w:r>
      <w:r w:rsidRPr="005A5C69">
        <w:rPr>
          <w:rFonts w:eastAsiaTheme="minorHAnsi"/>
          <w:sz w:val="20"/>
          <w:szCs w:val="20"/>
          <w:lang w:val="en-US" w:eastAsia="en-US"/>
        </w:rPr>
        <w:t xml:space="preserve"> (2003). FAST and IMAGE-FUV observations of a substorm onset. J. Geophys. Res. V. 108, No. A9, 1344, doi:10.1029/2002JA009787</w:t>
      </w:r>
    </w:p>
    <w:p w14:paraId="45073044" w14:textId="7A8D0D31" w:rsidR="00AC2375" w:rsidRPr="00BF726B" w:rsidRDefault="00AC2375" w:rsidP="005A5C69">
      <w:pPr>
        <w:autoSpaceDE w:val="0"/>
        <w:autoSpaceDN w:val="0"/>
        <w:adjustRightInd w:val="0"/>
        <w:ind w:left="567" w:hanging="567"/>
        <w:rPr>
          <w:rFonts w:eastAsiaTheme="minorHAnsi"/>
          <w:color w:val="000000" w:themeColor="text1"/>
          <w:sz w:val="20"/>
          <w:szCs w:val="20"/>
          <w:lang w:val="en-US" w:eastAsia="en-US"/>
        </w:rPr>
      </w:pPr>
      <w:r w:rsidRPr="009F4579">
        <w:rPr>
          <w:rFonts w:eastAsiaTheme="minorHAnsi"/>
          <w:i/>
          <w:iCs/>
          <w:color w:val="000000" w:themeColor="text1"/>
          <w:sz w:val="20"/>
          <w:szCs w:val="20"/>
          <w:lang w:val="en-US" w:eastAsia="en-US"/>
        </w:rPr>
        <w:t xml:space="preserve">Newell P.T., </w:t>
      </w:r>
      <w:proofErr w:type="spellStart"/>
      <w:r w:rsidRPr="009F4579">
        <w:rPr>
          <w:rFonts w:eastAsiaTheme="minorHAnsi"/>
          <w:i/>
          <w:iCs/>
          <w:color w:val="000000" w:themeColor="text1"/>
          <w:sz w:val="20"/>
          <w:szCs w:val="20"/>
          <w:lang w:val="en-US" w:eastAsia="en-US"/>
        </w:rPr>
        <w:t>Sotirelis</w:t>
      </w:r>
      <w:proofErr w:type="spellEnd"/>
      <w:r w:rsidRPr="009F4579">
        <w:rPr>
          <w:rFonts w:eastAsiaTheme="minorHAnsi"/>
          <w:i/>
          <w:iCs/>
          <w:color w:val="000000" w:themeColor="text1"/>
          <w:sz w:val="20"/>
          <w:szCs w:val="20"/>
          <w:lang w:val="en-US" w:eastAsia="en-US"/>
        </w:rPr>
        <w:t xml:space="preserve"> T.,</w:t>
      </w:r>
      <w:r w:rsidRPr="00BF726B">
        <w:rPr>
          <w:rFonts w:eastAsiaTheme="minorHAnsi"/>
          <w:i/>
          <w:iCs/>
          <w:color w:val="000000" w:themeColor="text1"/>
          <w:sz w:val="20"/>
          <w:szCs w:val="20"/>
          <w:lang w:val="en-US" w:eastAsia="en-US"/>
        </w:rPr>
        <w:t xml:space="preserve"> </w:t>
      </w:r>
      <w:r w:rsidRPr="009F4579">
        <w:rPr>
          <w:rFonts w:eastAsiaTheme="minorHAnsi"/>
          <w:i/>
          <w:iCs/>
          <w:color w:val="000000" w:themeColor="text1"/>
          <w:sz w:val="20"/>
          <w:szCs w:val="20"/>
          <w:lang w:val="en-US" w:eastAsia="en-US"/>
        </w:rPr>
        <w:t>Wing S.</w:t>
      </w:r>
      <w:r w:rsidRPr="009F4579">
        <w:rPr>
          <w:rFonts w:eastAsiaTheme="minorHAnsi"/>
          <w:color w:val="000000" w:themeColor="text1"/>
          <w:sz w:val="20"/>
          <w:szCs w:val="20"/>
          <w:lang w:val="en-US" w:eastAsia="en-US"/>
        </w:rPr>
        <w:t xml:space="preserve"> (2009). Diffuse, monoenergetic, and broadband aurora: The global precipitation budget. Journal of</w:t>
      </w:r>
      <w:r w:rsidR="005A5C69">
        <w:rPr>
          <w:rFonts w:eastAsiaTheme="minorHAnsi"/>
          <w:color w:val="000000" w:themeColor="text1"/>
          <w:sz w:val="20"/>
          <w:szCs w:val="20"/>
          <w:lang w:val="en-US" w:eastAsia="en-US"/>
        </w:rPr>
        <w:t xml:space="preserve"> </w:t>
      </w:r>
      <w:r w:rsidRPr="00BF726B">
        <w:rPr>
          <w:rFonts w:eastAsiaTheme="minorHAnsi"/>
          <w:color w:val="000000" w:themeColor="text1"/>
          <w:sz w:val="20"/>
          <w:szCs w:val="20"/>
          <w:lang w:val="en-US" w:eastAsia="en-US"/>
        </w:rPr>
        <w:t>Geophysical Research, 114, A09207. https://doi.org/10.1029/2009JA014326</w:t>
      </w:r>
    </w:p>
    <w:p w14:paraId="3FD37F90" w14:textId="01A951F1" w:rsidR="00AC2375" w:rsidRPr="005A5C69" w:rsidRDefault="00AC2375" w:rsidP="00AC2375">
      <w:pPr>
        <w:autoSpaceDE w:val="0"/>
        <w:autoSpaceDN w:val="0"/>
        <w:adjustRightInd w:val="0"/>
        <w:ind w:left="567" w:hanging="567"/>
        <w:rPr>
          <w:rFonts w:eastAsiaTheme="minorHAnsi"/>
          <w:sz w:val="20"/>
          <w:szCs w:val="20"/>
          <w:lang w:val="en-US"/>
        </w:rPr>
      </w:pPr>
      <w:r w:rsidRPr="005A5C69">
        <w:rPr>
          <w:rFonts w:eastAsiaTheme="minorHAnsi"/>
          <w:i/>
          <w:iCs/>
          <w:sz w:val="20"/>
          <w:szCs w:val="20"/>
          <w:lang w:val="en-US"/>
        </w:rPr>
        <w:t xml:space="preserve">Ovchinnikov I.L., Naiko </w:t>
      </w:r>
      <w:proofErr w:type="spellStart"/>
      <w:r w:rsidRPr="005A5C69">
        <w:rPr>
          <w:rFonts w:eastAsiaTheme="minorHAnsi"/>
          <w:i/>
          <w:iCs/>
          <w:sz w:val="20"/>
          <w:szCs w:val="20"/>
          <w:lang w:val="en-US"/>
        </w:rPr>
        <w:t>D.Yu</w:t>
      </w:r>
      <w:proofErr w:type="spellEnd"/>
      <w:r w:rsidRPr="005A5C69">
        <w:rPr>
          <w:rFonts w:eastAsiaTheme="minorHAnsi"/>
          <w:i/>
          <w:iCs/>
          <w:sz w:val="20"/>
          <w:szCs w:val="20"/>
          <w:lang w:val="en-US"/>
        </w:rPr>
        <w:t>., Antonova E.E.</w:t>
      </w:r>
      <w:r w:rsidRPr="005A5C69">
        <w:rPr>
          <w:rFonts w:eastAsiaTheme="minorHAnsi"/>
          <w:sz w:val="20"/>
          <w:szCs w:val="20"/>
          <w:lang w:val="en-US"/>
        </w:rPr>
        <w:t xml:space="preserve"> (2024). Fluctuations of the electric and magnetic fields in the plasma sheet of the Earth’s magnetotail according to MMS data. Cosmic Res. V. 62, No. 1. P. 10–33. doi:10.1134/S0010952523700788</w:t>
      </w:r>
    </w:p>
    <w:p w14:paraId="2FD18F81" w14:textId="77777777" w:rsidR="00AC2375" w:rsidRPr="002C1359" w:rsidRDefault="00AC2375" w:rsidP="00AC2375">
      <w:pPr>
        <w:autoSpaceDE w:val="0"/>
        <w:autoSpaceDN w:val="0"/>
        <w:adjustRightInd w:val="0"/>
        <w:ind w:left="567" w:hanging="567"/>
        <w:rPr>
          <w:rFonts w:eastAsiaTheme="minorHAnsi"/>
          <w:color w:val="0070C0"/>
          <w:sz w:val="20"/>
          <w:szCs w:val="20"/>
          <w:lang w:val="en-US"/>
        </w:rPr>
      </w:pPr>
      <w:r w:rsidRPr="002C1359">
        <w:rPr>
          <w:rFonts w:eastAsiaTheme="minorHAnsi"/>
          <w:color w:val="0070C0"/>
          <w:sz w:val="20"/>
          <w:szCs w:val="20"/>
          <w:lang w:val="en-US"/>
        </w:rPr>
        <w:t xml:space="preserve"> </w:t>
      </w:r>
      <w:proofErr w:type="spellStart"/>
      <w:r w:rsidRPr="00222523">
        <w:rPr>
          <w:rFonts w:eastAsiaTheme="minorHAnsi"/>
          <w:i/>
          <w:iCs/>
          <w:color w:val="000000" w:themeColor="text1"/>
          <w:sz w:val="20"/>
          <w:szCs w:val="20"/>
          <w:lang w:val="en-US"/>
        </w:rPr>
        <w:t>Paschmann</w:t>
      </w:r>
      <w:proofErr w:type="spellEnd"/>
      <w:r w:rsidRPr="00222523">
        <w:rPr>
          <w:rFonts w:eastAsiaTheme="minorHAnsi"/>
          <w:i/>
          <w:iCs/>
          <w:color w:val="000000" w:themeColor="text1"/>
          <w:sz w:val="20"/>
          <w:szCs w:val="20"/>
          <w:lang w:val="en-US"/>
        </w:rPr>
        <w:t xml:space="preserve"> G., Haaland S., </w:t>
      </w:r>
      <w:proofErr w:type="spellStart"/>
      <w:r w:rsidRPr="00222523">
        <w:rPr>
          <w:rFonts w:eastAsiaTheme="minorHAnsi"/>
          <w:i/>
          <w:iCs/>
          <w:color w:val="000000" w:themeColor="text1"/>
          <w:sz w:val="20"/>
          <w:szCs w:val="20"/>
          <w:lang w:val="en-US"/>
        </w:rPr>
        <w:t>Treumann</w:t>
      </w:r>
      <w:proofErr w:type="spellEnd"/>
      <w:r w:rsidRPr="00222523">
        <w:rPr>
          <w:rFonts w:eastAsiaTheme="minorHAnsi"/>
          <w:i/>
          <w:iCs/>
          <w:color w:val="000000" w:themeColor="text1"/>
          <w:sz w:val="20"/>
          <w:szCs w:val="20"/>
          <w:lang w:val="en-US"/>
        </w:rPr>
        <w:t xml:space="preserve"> R.</w:t>
      </w:r>
      <w:r w:rsidRPr="00222523">
        <w:rPr>
          <w:rFonts w:eastAsiaTheme="minorHAnsi"/>
          <w:color w:val="000000" w:themeColor="text1"/>
          <w:sz w:val="20"/>
          <w:szCs w:val="20"/>
          <w:lang w:val="en-US"/>
        </w:rPr>
        <w:t xml:space="preserve"> (2002). Auroral plasma physics. Space Sci. Rev. V. 103. No 1-4. P. 1–485. doi:10.1023/A:1023030716698</w:t>
      </w:r>
    </w:p>
    <w:p w14:paraId="157B19B0" w14:textId="77777777" w:rsidR="00AC2375" w:rsidRDefault="00AC2375" w:rsidP="00AC2375">
      <w:pPr>
        <w:autoSpaceDE w:val="0"/>
        <w:autoSpaceDN w:val="0"/>
        <w:adjustRightInd w:val="0"/>
        <w:ind w:left="567" w:hanging="567"/>
        <w:rPr>
          <w:bCs/>
          <w:sz w:val="20"/>
          <w:szCs w:val="20"/>
          <w:lang w:val="en-US"/>
        </w:rPr>
      </w:pPr>
      <w:r w:rsidRPr="002C1359">
        <w:rPr>
          <w:bCs/>
          <w:color w:val="0070C0"/>
          <w:sz w:val="20"/>
          <w:szCs w:val="20"/>
          <w:lang w:val="en-US"/>
        </w:rPr>
        <w:t xml:space="preserve"> </w:t>
      </w:r>
      <w:proofErr w:type="spellStart"/>
      <w:r w:rsidRPr="00DC4E13">
        <w:rPr>
          <w:bCs/>
          <w:i/>
          <w:iCs/>
          <w:sz w:val="20"/>
          <w:szCs w:val="20"/>
          <w:lang w:val="en-US"/>
        </w:rPr>
        <w:t>Vorobjev</w:t>
      </w:r>
      <w:proofErr w:type="spellEnd"/>
      <w:r w:rsidRPr="00DC4E13">
        <w:rPr>
          <w:bCs/>
          <w:i/>
          <w:iCs/>
          <w:sz w:val="20"/>
          <w:szCs w:val="20"/>
          <w:lang w:val="en-US"/>
        </w:rPr>
        <w:t xml:space="preserve"> V.G., </w:t>
      </w:r>
      <w:proofErr w:type="spellStart"/>
      <w:r w:rsidRPr="00DC4E13">
        <w:rPr>
          <w:bCs/>
          <w:i/>
          <w:iCs/>
          <w:sz w:val="20"/>
          <w:szCs w:val="20"/>
          <w:lang w:val="en-US"/>
        </w:rPr>
        <w:t>Yagodkina</w:t>
      </w:r>
      <w:proofErr w:type="spellEnd"/>
      <w:r w:rsidRPr="00DC4E13">
        <w:rPr>
          <w:bCs/>
          <w:i/>
          <w:iCs/>
          <w:sz w:val="20"/>
          <w:szCs w:val="20"/>
          <w:lang w:val="en-US"/>
        </w:rPr>
        <w:t xml:space="preserve"> O.I., Antonova E.E., </w:t>
      </w:r>
      <w:proofErr w:type="spellStart"/>
      <w:r w:rsidRPr="00DC4E13">
        <w:rPr>
          <w:bCs/>
          <w:i/>
          <w:iCs/>
          <w:sz w:val="20"/>
          <w:szCs w:val="20"/>
          <w:lang w:val="en-US"/>
        </w:rPr>
        <w:t>Kirpichev</w:t>
      </w:r>
      <w:proofErr w:type="spellEnd"/>
      <w:r w:rsidRPr="00DC4E13">
        <w:rPr>
          <w:bCs/>
          <w:i/>
          <w:iCs/>
          <w:sz w:val="20"/>
          <w:szCs w:val="20"/>
          <w:lang w:val="en-US"/>
        </w:rPr>
        <w:t xml:space="preserve"> I.P.</w:t>
      </w:r>
      <w:r w:rsidRPr="00DC4E13">
        <w:rPr>
          <w:bCs/>
          <w:sz w:val="20"/>
          <w:szCs w:val="20"/>
          <w:lang w:val="en-US"/>
        </w:rPr>
        <w:t xml:space="preserve"> (2024). Latitudinal distribution of characteristics of night auroral precipitations during the beginning of substorms</w:t>
      </w:r>
      <w:r w:rsidRPr="00DC4E13">
        <w:rPr>
          <w:rFonts w:eastAsiaTheme="minorHAnsi"/>
          <w:bCs/>
          <w:sz w:val="20"/>
          <w:szCs w:val="20"/>
          <w:lang w:val="en-US"/>
        </w:rPr>
        <w:t xml:space="preserve">. </w:t>
      </w:r>
      <w:r w:rsidRPr="00DC4E13">
        <w:rPr>
          <w:bCs/>
          <w:sz w:val="20"/>
          <w:szCs w:val="20"/>
          <w:lang w:val="en-US"/>
        </w:rPr>
        <w:t xml:space="preserve">Proc. XLVII Annual Seminar, </w:t>
      </w:r>
      <w:proofErr w:type="spellStart"/>
      <w:r w:rsidRPr="00DC4E13">
        <w:rPr>
          <w:bCs/>
          <w:sz w:val="20"/>
          <w:szCs w:val="20"/>
          <w:lang w:val="en-US"/>
        </w:rPr>
        <w:t>Apatity</w:t>
      </w:r>
      <w:proofErr w:type="spellEnd"/>
      <w:r w:rsidRPr="00DC4E13">
        <w:rPr>
          <w:bCs/>
          <w:sz w:val="20"/>
          <w:szCs w:val="20"/>
          <w:lang w:val="en-US"/>
        </w:rPr>
        <w:t>, P. 68-72, doi:10.51981/2588-0039.2024.47.015</w:t>
      </w:r>
    </w:p>
    <w:p w14:paraId="058D7305" w14:textId="434B7A90" w:rsidR="001B435D" w:rsidRPr="00951BD8" w:rsidRDefault="001B435D" w:rsidP="001B435D">
      <w:pPr>
        <w:ind w:left="567" w:hanging="567"/>
        <w:rPr>
          <w:sz w:val="20"/>
          <w:szCs w:val="20"/>
          <w:lang w:val="en-US"/>
        </w:rPr>
      </w:pPr>
      <w:proofErr w:type="spellStart"/>
      <w:r w:rsidRPr="00DC4E13">
        <w:rPr>
          <w:bCs/>
          <w:i/>
          <w:iCs/>
          <w:sz w:val="20"/>
          <w:szCs w:val="20"/>
          <w:lang w:val="en-US"/>
        </w:rPr>
        <w:t>Vorobjev</w:t>
      </w:r>
      <w:proofErr w:type="spellEnd"/>
      <w:r w:rsidRPr="00DC4E13">
        <w:rPr>
          <w:bCs/>
          <w:i/>
          <w:iCs/>
          <w:sz w:val="20"/>
          <w:szCs w:val="20"/>
          <w:lang w:val="en-US"/>
        </w:rPr>
        <w:t xml:space="preserve"> V.G., </w:t>
      </w:r>
      <w:proofErr w:type="spellStart"/>
      <w:r w:rsidRPr="00DC4E13">
        <w:rPr>
          <w:bCs/>
          <w:i/>
          <w:iCs/>
          <w:sz w:val="20"/>
          <w:szCs w:val="20"/>
          <w:lang w:val="en-US"/>
        </w:rPr>
        <w:t>Yagodkina</w:t>
      </w:r>
      <w:proofErr w:type="spellEnd"/>
      <w:r w:rsidRPr="00DC4E13">
        <w:rPr>
          <w:bCs/>
          <w:i/>
          <w:iCs/>
          <w:sz w:val="20"/>
          <w:szCs w:val="20"/>
          <w:lang w:val="en-US"/>
        </w:rPr>
        <w:t xml:space="preserve"> O.I., Antonova E.E</w:t>
      </w:r>
      <w:r w:rsidRPr="001B435D">
        <w:rPr>
          <w:sz w:val="20"/>
          <w:szCs w:val="20"/>
          <w:lang w:val="en-US"/>
        </w:rPr>
        <w:t xml:space="preserve"> </w:t>
      </w:r>
      <w:r w:rsidRPr="001B435D">
        <w:rPr>
          <w:sz w:val="20"/>
          <w:szCs w:val="20"/>
          <w:lang w:val="en-US"/>
        </w:rPr>
        <w:t>(2025</w:t>
      </w:r>
      <w:r>
        <w:rPr>
          <w:sz w:val="20"/>
          <w:szCs w:val="20"/>
          <w:lang w:val="en-US"/>
        </w:rPr>
        <w:t>a</w:t>
      </w:r>
      <w:r w:rsidRPr="001B435D">
        <w:rPr>
          <w:sz w:val="20"/>
          <w:szCs w:val="20"/>
          <w:lang w:val="en-US"/>
        </w:rPr>
        <w:t xml:space="preserve">). </w:t>
      </w:r>
      <w:r w:rsidRPr="00DC4E13">
        <w:rPr>
          <w:bCs/>
          <w:sz w:val="20"/>
          <w:szCs w:val="20"/>
          <w:lang w:val="en-US"/>
        </w:rPr>
        <w:t>nighttime auroral precipitation during</w:t>
      </w:r>
      <w:r w:rsidRPr="001B435D">
        <w:rPr>
          <w:sz w:val="20"/>
          <w:szCs w:val="20"/>
          <w:lang w:val="en-US"/>
        </w:rPr>
        <w:t xml:space="preserve"> </w:t>
      </w:r>
      <w:r w:rsidRPr="001B435D">
        <w:rPr>
          <w:sz w:val="20"/>
          <w:szCs w:val="20"/>
          <w:lang w:val="en-US"/>
        </w:rPr>
        <w:t>extreme levels of geomagnetic activity.</w:t>
      </w:r>
      <w:r w:rsidRPr="001B435D">
        <w:rPr>
          <w:sz w:val="20"/>
          <w:szCs w:val="20"/>
          <w:lang w:val="en-US"/>
        </w:rPr>
        <w:t xml:space="preserve"> </w:t>
      </w:r>
      <w:r w:rsidRPr="00047B66">
        <w:rPr>
          <w:sz w:val="20"/>
          <w:szCs w:val="20"/>
          <w:lang w:val="en-US"/>
        </w:rPr>
        <w:t xml:space="preserve">“Physics of Auroral Phenomena”, Proc. XLVIII Annual Seminar, </w:t>
      </w:r>
      <w:proofErr w:type="spellStart"/>
      <w:r w:rsidRPr="00047B66">
        <w:rPr>
          <w:sz w:val="20"/>
          <w:szCs w:val="20"/>
          <w:lang w:val="en-US"/>
        </w:rPr>
        <w:t>Apatity</w:t>
      </w:r>
      <w:proofErr w:type="spellEnd"/>
      <w:r w:rsidRPr="00047B66">
        <w:rPr>
          <w:sz w:val="20"/>
          <w:szCs w:val="20"/>
          <w:lang w:val="en-US"/>
        </w:rPr>
        <w:t xml:space="preserve">, pp. 54-58, </w:t>
      </w:r>
      <w:r>
        <w:rPr>
          <w:sz w:val="20"/>
          <w:szCs w:val="20"/>
          <w:lang w:val="en-US"/>
        </w:rPr>
        <w:t>doi:</w:t>
      </w:r>
      <w:r w:rsidRPr="00621F6C">
        <w:rPr>
          <w:sz w:val="20"/>
          <w:szCs w:val="20"/>
          <w:lang w:val="en-US"/>
        </w:rPr>
        <w:t>10.51981/2588-0039.2025.48.012</w:t>
      </w:r>
    </w:p>
    <w:p w14:paraId="2E9535E7" w14:textId="25F5E418" w:rsidR="00AC2375" w:rsidRPr="00AC2375" w:rsidRDefault="00AC2375" w:rsidP="00AC2375">
      <w:pPr>
        <w:ind w:left="567" w:hanging="567"/>
        <w:jc w:val="both"/>
        <w:rPr>
          <w:bCs/>
          <w:sz w:val="20"/>
          <w:szCs w:val="20"/>
          <w:lang w:val="en-US"/>
        </w:rPr>
      </w:pPr>
      <w:proofErr w:type="spellStart"/>
      <w:r w:rsidRPr="00DC4E13">
        <w:rPr>
          <w:bCs/>
          <w:i/>
          <w:iCs/>
          <w:sz w:val="20"/>
          <w:szCs w:val="20"/>
          <w:lang w:val="en-US"/>
        </w:rPr>
        <w:t>Vorobjev</w:t>
      </w:r>
      <w:proofErr w:type="spellEnd"/>
      <w:r w:rsidRPr="00DC4E13">
        <w:rPr>
          <w:bCs/>
          <w:i/>
          <w:iCs/>
          <w:sz w:val="20"/>
          <w:szCs w:val="20"/>
          <w:lang w:val="en-US"/>
        </w:rPr>
        <w:t xml:space="preserve"> V.G., </w:t>
      </w:r>
      <w:proofErr w:type="spellStart"/>
      <w:r w:rsidRPr="00DC4E13">
        <w:rPr>
          <w:bCs/>
          <w:i/>
          <w:iCs/>
          <w:sz w:val="20"/>
          <w:szCs w:val="20"/>
          <w:lang w:val="en-US"/>
        </w:rPr>
        <w:t>Yagodkina</w:t>
      </w:r>
      <w:proofErr w:type="spellEnd"/>
      <w:r w:rsidRPr="00DC4E13">
        <w:rPr>
          <w:bCs/>
          <w:i/>
          <w:iCs/>
          <w:sz w:val="20"/>
          <w:szCs w:val="20"/>
          <w:lang w:val="en-US"/>
        </w:rPr>
        <w:t xml:space="preserve"> O.I., Antonova E.E., </w:t>
      </w:r>
      <w:proofErr w:type="spellStart"/>
      <w:r w:rsidRPr="00DC4E13">
        <w:rPr>
          <w:bCs/>
          <w:i/>
          <w:iCs/>
          <w:sz w:val="20"/>
          <w:szCs w:val="20"/>
          <w:lang w:val="en-US"/>
        </w:rPr>
        <w:t>Kirpichev</w:t>
      </w:r>
      <w:proofErr w:type="spellEnd"/>
      <w:r w:rsidRPr="00DC4E13">
        <w:rPr>
          <w:bCs/>
          <w:i/>
          <w:iCs/>
          <w:sz w:val="20"/>
          <w:szCs w:val="20"/>
          <w:lang w:val="en-US"/>
        </w:rPr>
        <w:t xml:space="preserve"> I.P.</w:t>
      </w:r>
      <w:r w:rsidRPr="00DC4E13">
        <w:rPr>
          <w:bCs/>
          <w:sz w:val="20"/>
          <w:szCs w:val="20"/>
          <w:lang w:val="en-US"/>
        </w:rPr>
        <w:t xml:space="preserve"> (2025</w:t>
      </w:r>
      <w:r w:rsidR="001B435D">
        <w:rPr>
          <w:bCs/>
          <w:sz w:val="20"/>
          <w:szCs w:val="20"/>
          <w:lang w:val="en-US"/>
        </w:rPr>
        <w:t>b</w:t>
      </w:r>
      <w:r w:rsidRPr="00DC4E13">
        <w:rPr>
          <w:bCs/>
          <w:sz w:val="20"/>
          <w:szCs w:val="20"/>
          <w:lang w:val="en-US"/>
        </w:rPr>
        <w:t xml:space="preserve">). Latitudinal distribution of nighttime auroral precipitation during magnetic calm and near the time of substorm onset. </w:t>
      </w:r>
      <w:proofErr w:type="spellStart"/>
      <w:r w:rsidRPr="00DC4E13">
        <w:rPr>
          <w:bCs/>
          <w:sz w:val="20"/>
          <w:szCs w:val="20"/>
          <w:lang w:val="en-US"/>
        </w:rPr>
        <w:t>Geomagnetizm</w:t>
      </w:r>
      <w:proofErr w:type="spellEnd"/>
      <w:r w:rsidRPr="00AC2375">
        <w:rPr>
          <w:bCs/>
          <w:sz w:val="20"/>
          <w:szCs w:val="20"/>
          <w:lang w:val="en-US"/>
        </w:rPr>
        <w:t xml:space="preserve"> </w:t>
      </w:r>
      <w:proofErr w:type="spellStart"/>
      <w:r w:rsidRPr="00DC4E13">
        <w:rPr>
          <w:bCs/>
          <w:sz w:val="20"/>
          <w:szCs w:val="20"/>
          <w:lang w:val="en-US"/>
        </w:rPr>
        <w:t>i</w:t>
      </w:r>
      <w:proofErr w:type="spellEnd"/>
      <w:r w:rsidRPr="00AC2375">
        <w:rPr>
          <w:bCs/>
          <w:sz w:val="20"/>
          <w:szCs w:val="20"/>
          <w:lang w:val="en-US"/>
        </w:rPr>
        <w:t xml:space="preserve"> </w:t>
      </w:r>
      <w:proofErr w:type="spellStart"/>
      <w:r w:rsidRPr="00DC4E13">
        <w:rPr>
          <w:bCs/>
          <w:sz w:val="20"/>
          <w:szCs w:val="20"/>
          <w:lang w:val="en-US"/>
        </w:rPr>
        <w:t>a</w:t>
      </w:r>
      <w:r w:rsidRPr="00AC2375">
        <w:rPr>
          <w:bCs/>
          <w:sz w:val="20"/>
          <w:szCs w:val="20"/>
          <w:lang w:val="en-US"/>
        </w:rPr>
        <w:t>è</w:t>
      </w:r>
      <w:r w:rsidRPr="00DC4E13">
        <w:rPr>
          <w:bCs/>
          <w:sz w:val="20"/>
          <w:szCs w:val="20"/>
          <w:lang w:val="en-US"/>
        </w:rPr>
        <w:t>ronomi</w:t>
      </w:r>
      <w:r w:rsidRPr="00AC2375">
        <w:rPr>
          <w:bCs/>
          <w:sz w:val="20"/>
          <w:szCs w:val="20"/>
          <w:lang w:val="en-US"/>
        </w:rPr>
        <w:t>â</w:t>
      </w:r>
      <w:proofErr w:type="spellEnd"/>
      <w:r w:rsidRPr="00AC2375">
        <w:rPr>
          <w:bCs/>
          <w:sz w:val="20"/>
          <w:szCs w:val="20"/>
          <w:lang w:val="en-US"/>
        </w:rPr>
        <w:t xml:space="preserve">.  </w:t>
      </w:r>
      <w:r w:rsidRPr="00DC4E13">
        <w:rPr>
          <w:bCs/>
          <w:sz w:val="20"/>
          <w:szCs w:val="20"/>
          <w:lang w:val="en-US"/>
        </w:rPr>
        <w:t>V</w:t>
      </w:r>
      <w:r w:rsidRPr="00AC2375">
        <w:rPr>
          <w:bCs/>
          <w:sz w:val="20"/>
          <w:szCs w:val="20"/>
          <w:lang w:val="en-US"/>
        </w:rPr>
        <w:t xml:space="preserve">. 65. </w:t>
      </w:r>
      <w:r w:rsidRPr="00DC4E13">
        <w:rPr>
          <w:bCs/>
          <w:sz w:val="20"/>
          <w:szCs w:val="20"/>
          <w:lang w:val="en-US"/>
        </w:rPr>
        <w:t>No</w:t>
      </w:r>
      <w:r w:rsidRPr="00AC2375">
        <w:rPr>
          <w:bCs/>
          <w:sz w:val="20"/>
          <w:szCs w:val="20"/>
          <w:lang w:val="en-US"/>
        </w:rPr>
        <w:t xml:space="preserve"> 2. </w:t>
      </w:r>
      <w:r w:rsidRPr="00DC4E13">
        <w:rPr>
          <w:bCs/>
          <w:sz w:val="20"/>
          <w:szCs w:val="20"/>
          <w:lang w:val="en-US"/>
        </w:rPr>
        <w:t>P</w:t>
      </w:r>
      <w:r w:rsidRPr="00AC2375">
        <w:rPr>
          <w:bCs/>
          <w:sz w:val="20"/>
          <w:szCs w:val="20"/>
          <w:lang w:val="en-US"/>
        </w:rPr>
        <w:t xml:space="preserve">. 143-158. </w:t>
      </w:r>
      <w:proofErr w:type="spellStart"/>
      <w:r w:rsidRPr="00DC4E13">
        <w:rPr>
          <w:bCs/>
          <w:sz w:val="20"/>
          <w:szCs w:val="20"/>
          <w:lang w:val="en-US"/>
        </w:rPr>
        <w:t>doi</w:t>
      </w:r>
      <w:proofErr w:type="spellEnd"/>
      <w:r w:rsidRPr="00AC2375">
        <w:rPr>
          <w:bCs/>
          <w:sz w:val="20"/>
          <w:szCs w:val="20"/>
          <w:lang w:val="en-US"/>
        </w:rPr>
        <w:t>: 10.31857/</w:t>
      </w:r>
      <w:r w:rsidRPr="00DC4E13">
        <w:rPr>
          <w:bCs/>
          <w:sz w:val="20"/>
          <w:szCs w:val="20"/>
          <w:lang w:val="en-US"/>
        </w:rPr>
        <w:t>S</w:t>
      </w:r>
      <w:r w:rsidRPr="00AC2375">
        <w:rPr>
          <w:bCs/>
          <w:sz w:val="20"/>
          <w:szCs w:val="20"/>
          <w:lang w:val="en-US"/>
        </w:rPr>
        <w:t>0016794025020012</w:t>
      </w:r>
    </w:p>
    <w:p w14:paraId="2D41A4E7" w14:textId="77777777" w:rsidR="00AC2375" w:rsidRPr="002D5FD2" w:rsidRDefault="00AC2375" w:rsidP="00AC2375">
      <w:pPr>
        <w:ind w:left="142" w:hanging="142"/>
        <w:jc w:val="both"/>
        <w:rPr>
          <w:bCs/>
          <w:sz w:val="20"/>
          <w:szCs w:val="20"/>
        </w:rPr>
      </w:pPr>
      <w:proofErr w:type="spellStart"/>
      <w:r w:rsidRPr="00044682">
        <w:rPr>
          <w:bCs/>
          <w:i/>
          <w:iCs/>
          <w:sz w:val="20"/>
          <w:szCs w:val="20"/>
          <w:lang w:val="en-US"/>
        </w:rPr>
        <w:t>Yagodkina</w:t>
      </w:r>
      <w:proofErr w:type="spellEnd"/>
      <w:r w:rsidRPr="00044682">
        <w:rPr>
          <w:bCs/>
          <w:i/>
          <w:iCs/>
          <w:sz w:val="20"/>
          <w:szCs w:val="20"/>
          <w:lang w:val="en-US"/>
        </w:rPr>
        <w:t xml:space="preserve"> O.I., </w:t>
      </w:r>
      <w:proofErr w:type="spellStart"/>
      <w:r w:rsidRPr="00044682">
        <w:rPr>
          <w:bCs/>
          <w:i/>
          <w:iCs/>
          <w:sz w:val="20"/>
          <w:szCs w:val="20"/>
          <w:lang w:val="en-US"/>
        </w:rPr>
        <w:t>Belakhovsky</w:t>
      </w:r>
      <w:proofErr w:type="spellEnd"/>
      <w:r w:rsidRPr="00044682">
        <w:rPr>
          <w:bCs/>
          <w:i/>
          <w:iCs/>
          <w:sz w:val="20"/>
          <w:szCs w:val="20"/>
          <w:lang w:val="en-US"/>
        </w:rPr>
        <w:t xml:space="preserve"> V.B., </w:t>
      </w:r>
      <w:proofErr w:type="spellStart"/>
      <w:r w:rsidRPr="00044682">
        <w:rPr>
          <w:bCs/>
          <w:i/>
          <w:iCs/>
          <w:sz w:val="20"/>
          <w:szCs w:val="20"/>
          <w:lang w:val="en-US"/>
        </w:rPr>
        <w:t>Vorobjev</w:t>
      </w:r>
      <w:proofErr w:type="spellEnd"/>
      <w:r w:rsidRPr="00044682">
        <w:rPr>
          <w:bCs/>
          <w:i/>
          <w:iCs/>
          <w:sz w:val="20"/>
          <w:szCs w:val="20"/>
          <w:lang w:val="en-US"/>
        </w:rPr>
        <w:t xml:space="preserve"> </w:t>
      </w:r>
      <w:proofErr w:type="gramStart"/>
      <w:r w:rsidRPr="00044682">
        <w:rPr>
          <w:bCs/>
          <w:i/>
          <w:iCs/>
          <w:sz w:val="20"/>
          <w:szCs w:val="20"/>
          <w:lang w:val="en-US"/>
        </w:rPr>
        <w:t>V.G ,</w:t>
      </w:r>
      <w:proofErr w:type="gramEnd"/>
      <w:r w:rsidRPr="00044682">
        <w:rPr>
          <w:bCs/>
          <w:i/>
          <w:iCs/>
          <w:sz w:val="20"/>
          <w:szCs w:val="20"/>
          <w:lang w:val="en-US"/>
        </w:rPr>
        <w:t xml:space="preserve"> Jin Y., </w:t>
      </w:r>
      <w:proofErr w:type="spellStart"/>
      <w:r w:rsidRPr="00044682">
        <w:rPr>
          <w:bCs/>
          <w:i/>
          <w:iCs/>
          <w:sz w:val="20"/>
          <w:szCs w:val="20"/>
          <w:lang w:val="en-US"/>
        </w:rPr>
        <w:t>Miloch</w:t>
      </w:r>
      <w:proofErr w:type="spellEnd"/>
      <w:r w:rsidRPr="00044682">
        <w:rPr>
          <w:bCs/>
          <w:i/>
          <w:iCs/>
          <w:sz w:val="20"/>
          <w:szCs w:val="20"/>
          <w:lang w:val="en-US"/>
        </w:rPr>
        <w:t xml:space="preserve"> W.</w:t>
      </w:r>
      <w:r w:rsidRPr="004F6300">
        <w:rPr>
          <w:bCs/>
          <w:sz w:val="20"/>
          <w:szCs w:val="20"/>
          <w:lang w:val="en-US"/>
        </w:rPr>
        <w:t xml:space="preserve"> </w:t>
      </w:r>
      <w:proofErr w:type="spellStart"/>
      <w:r>
        <w:rPr>
          <w:bCs/>
          <w:sz w:val="20"/>
          <w:szCs w:val="20"/>
          <w:lang w:val="en-US"/>
        </w:rPr>
        <w:t>Scintilations</w:t>
      </w:r>
      <w:proofErr w:type="spellEnd"/>
      <w:r w:rsidRPr="004F6300">
        <w:rPr>
          <w:bCs/>
          <w:sz w:val="20"/>
          <w:szCs w:val="20"/>
          <w:lang w:val="en-US"/>
        </w:rPr>
        <w:t xml:space="preserve"> </w:t>
      </w:r>
      <w:r>
        <w:rPr>
          <w:bCs/>
          <w:sz w:val="20"/>
          <w:szCs w:val="20"/>
          <w:lang w:val="en-US"/>
        </w:rPr>
        <w:t>of GPS-signals during the substorm on December 11, 2015. Solar</w:t>
      </w:r>
      <w:r w:rsidRPr="002D5FD2">
        <w:rPr>
          <w:bCs/>
          <w:sz w:val="20"/>
          <w:szCs w:val="20"/>
        </w:rPr>
        <w:t>-</w:t>
      </w:r>
      <w:r>
        <w:rPr>
          <w:bCs/>
          <w:sz w:val="20"/>
          <w:szCs w:val="20"/>
          <w:lang w:val="en-US"/>
        </w:rPr>
        <w:t>Terrestrial</w:t>
      </w:r>
      <w:r w:rsidRPr="002D5FD2">
        <w:rPr>
          <w:bCs/>
          <w:sz w:val="20"/>
          <w:szCs w:val="20"/>
        </w:rPr>
        <w:t xml:space="preserve"> </w:t>
      </w:r>
      <w:r>
        <w:rPr>
          <w:bCs/>
          <w:sz w:val="20"/>
          <w:szCs w:val="20"/>
          <w:lang w:val="en-US"/>
        </w:rPr>
        <w:t>physics</w:t>
      </w:r>
      <w:r w:rsidRPr="002D5FD2">
        <w:rPr>
          <w:bCs/>
          <w:sz w:val="20"/>
          <w:szCs w:val="20"/>
        </w:rPr>
        <w:t xml:space="preserve">, </w:t>
      </w:r>
      <w:r>
        <w:rPr>
          <w:bCs/>
          <w:sz w:val="20"/>
          <w:szCs w:val="20"/>
          <w:lang w:val="en-US"/>
        </w:rPr>
        <w:t>in</w:t>
      </w:r>
      <w:r w:rsidRPr="002D5FD2">
        <w:rPr>
          <w:bCs/>
          <w:sz w:val="20"/>
          <w:szCs w:val="20"/>
        </w:rPr>
        <w:t xml:space="preserve"> </w:t>
      </w:r>
      <w:r>
        <w:rPr>
          <w:bCs/>
          <w:sz w:val="20"/>
          <w:szCs w:val="20"/>
          <w:lang w:val="en-US"/>
        </w:rPr>
        <w:t>press</w:t>
      </w:r>
      <w:r w:rsidRPr="002D5FD2">
        <w:rPr>
          <w:bCs/>
          <w:sz w:val="20"/>
          <w:szCs w:val="20"/>
        </w:rPr>
        <w:t xml:space="preserve">, </w:t>
      </w:r>
      <w:proofErr w:type="spellStart"/>
      <w:r>
        <w:rPr>
          <w:bCs/>
          <w:sz w:val="20"/>
          <w:szCs w:val="20"/>
          <w:lang w:val="en-US"/>
        </w:rPr>
        <w:t>aksepted</w:t>
      </w:r>
      <w:proofErr w:type="spellEnd"/>
      <w:r w:rsidRPr="002D5FD2">
        <w:rPr>
          <w:bCs/>
          <w:sz w:val="20"/>
          <w:szCs w:val="20"/>
        </w:rPr>
        <w:t>.</w:t>
      </w:r>
    </w:p>
    <w:p w14:paraId="4A5FFE6B" w14:textId="77777777" w:rsidR="00AC2375" w:rsidRDefault="00AC2375" w:rsidP="00AC2375">
      <w:pPr>
        <w:ind w:left="142" w:hanging="142"/>
        <w:jc w:val="both"/>
        <w:rPr>
          <w:bCs/>
          <w:sz w:val="20"/>
          <w:szCs w:val="20"/>
        </w:rPr>
      </w:pPr>
    </w:p>
    <w:p w14:paraId="37B4FE24" w14:textId="77777777" w:rsidR="008D151A" w:rsidRDefault="008D151A" w:rsidP="00AC2375">
      <w:pPr>
        <w:ind w:left="142" w:hanging="142"/>
        <w:jc w:val="both"/>
        <w:rPr>
          <w:bCs/>
          <w:sz w:val="20"/>
          <w:szCs w:val="20"/>
        </w:rPr>
      </w:pPr>
    </w:p>
    <w:p w14:paraId="01CEBDC4" w14:textId="77777777" w:rsidR="008D151A" w:rsidRDefault="008D151A" w:rsidP="00AC2375">
      <w:pPr>
        <w:ind w:left="142" w:hanging="142"/>
        <w:jc w:val="both"/>
        <w:rPr>
          <w:bCs/>
          <w:sz w:val="20"/>
          <w:szCs w:val="20"/>
        </w:rPr>
      </w:pPr>
    </w:p>
    <w:p w14:paraId="48EB28E4" w14:textId="77777777" w:rsidR="008D151A" w:rsidRPr="002D5FD2" w:rsidRDefault="008D151A" w:rsidP="00AC2375">
      <w:pPr>
        <w:ind w:left="142" w:hanging="142"/>
        <w:jc w:val="both"/>
        <w:rPr>
          <w:bCs/>
          <w:sz w:val="20"/>
          <w:szCs w:val="20"/>
        </w:rPr>
      </w:pPr>
    </w:p>
    <w:p w14:paraId="36A1E873" w14:textId="77777777" w:rsidR="00760428" w:rsidRPr="00760428" w:rsidRDefault="00760428" w:rsidP="00760428">
      <w:pPr>
        <w:jc w:val="both"/>
        <w:rPr>
          <w:b/>
          <w:sz w:val="28"/>
          <w:szCs w:val="28"/>
        </w:rPr>
      </w:pPr>
      <w:r w:rsidRPr="00760428">
        <w:rPr>
          <w:b/>
          <w:sz w:val="28"/>
          <w:szCs w:val="28"/>
        </w:rPr>
        <w:t>Механизм формирования дуги полярного сияния вследствие проникновения холодной плазмы в область продольного падения потенциала</w:t>
      </w:r>
    </w:p>
    <w:p w14:paraId="72D6A32B" w14:textId="77777777" w:rsidR="00AD3182" w:rsidRDefault="00AD3182">
      <w:pPr>
        <w:jc w:val="both"/>
        <w:rPr>
          <w:b/>
          <w:sz w:val="20"/>
          <w:szCs w:val="20"/>
        </w:rPr>
      </w:pPr>
    </w:p>
    <w:p w14:paraId="49F33E10" w14:textId="77777777" w:rsidR="00820802" w:rsidRPr="00820802" w:rsidRDefault="00820802" w:rsidP="00820802">
      <w:pPr>
        <w:pStyle w:val="Default"/>
        <w:rPr>
          <w:sz w:val="20"/>
          <w:szCs w:val="20"/>
        </w:rPr>
      </w:pPr>
      <w:r w:rsidRPr="00820802">
        <w:rPr>
          <w:sz w:val="20"/>
          <w:szCs w:val="20"/>
        </w:rPr>
        <w:t>Антонова Е.Е.</w:t>
      </w:r>
      <w:r w:rsidRPr="00820802">
        <w:rPr>
          <w:sz w:val="20"/>
          <w:szCs w:val="20"/>
          <w:vertAlign w:val="superscript"/>
        </w:rPr>
        <w:t>1,2</w:t>
      </w:r>
      <w:r w:rsidRPr="00820802">
        <w:rPr>
          <w:sz w:val="20"/>
          <w:szCs w:val="20"/>
        </w:rPr>
        <w:t>, М.В. Степанова</w:t>
      </w:r>
      <w:r w:rsidRPr="00820802">
        <w:rPr>
          <w:sz w:val="20"/>
          <w:szCs w:val="20"/>
          <w:vertAlign w:val="superscript"/>
        </w:rPr>
        <w:t>3</w:t>
      </w:r>
      <w:r w:rsidRPr="00820802">
        <w:rPr>
          <w:sz w:val="20"/>
          <w:szCs w:val="20"/>
        </w:rPr>
        <w:t>, В.Г. Воробьев</w:t>
      </w:r>
      <w:r w:rsidRPr="00820802">
        <w:rPr>
          <w:sz w:val="20"/>
          <w:szCs w:val="20"/>
          <w:vertAlign w:val="superscript"/>
        </w:rPr>
        <w:t>4</w:t>
      </w:r>
      <w:r w:rsidRPr="00820802">
        <w:rPr>
          <w:sz w:val="20"/>
          <w:szCs w:val="20"/>
        </w:rPr>
        <w:t>, О.И. Ягодкина</w:t>
      </w:r>
      <w:r w:rsidRPr="00820802">
        <w:rPr>
          <w:sz w:val="20"/>
          <w:szCs w:val="20"/>
          <w:vertAlign w:val="superscript"/>
        </w:rPr>
        <w:t>4</w:t>
      </w:r>
      <w:r w:rsidRPr="00820802">
        <w:rPr>
          <w:sz w:val="20"/>
          <w:szCs w:val="20"/>
        </w:rPr>
        <w:t>, И.П. Кирпичев</w:t>
      </w:r>
      <w:r w:rsidRPr="00820802">
        <w:rPr>
          <w:sz w:val="20"/>
          <w:szCs w:val="20"/>
          <w:vertAlign w:val="superscript"/>
        </w:rPr>
        <w:t>2</w:t>
      </w:r>
      <w:r w:rsidRPr="00820802">
        <w:rPr>
          <w:sz w:val="20"/>
          <w:szCs w:val="20"/>
        </w:rPr>
        <w:t>, И.Л. Овчинников</w:t>
      </w:r>
      <w:r w:rsidRPr="00820802">
        <w:rPr>
          <w:sz w:val="20"/>
          <w:szCs w:val="20"/>
          <w:vertAlign w:val="superscript"/>
        </w:rPr>
        <w:t>1</w:t>
      </w:r>
      <w:r w:rsidRPr="00820802">
        <w:rPr>
          <w:sz w:val="20"/>
          <w:szCs w:val="20"/>
        </w:rPr>
        <w:t>, Г.И. Антонюк</w:t>
      </w:r>
      <w:r w:rsidRPr="00820802">
        <w:rPr>
          <w:sz w:val="20"/>
          <w:szCs w:val="20"/>
          <w:vertAlign w:val="superscript"/>
        </w:rPr>
        <w:t>1</w:t>
      </w:r>
    </w:p>
    <w:p w14:paraId="12C28E43" w14:textId="77777777" w:rsidR="00AD3182" w:rsidRDefault="00000000">
      <w:pPr>
        <w:pStyle w:val="Default"/>
      </w:pPr>
      <w:r>
        <w:rPr>
          <w:sz w:val="20"/>
          <w:szCs w:val="20"/>
          <w:lang w:val="en-US"/>
        </w:rPr>
        <w:t> </w:t>
      </w:r>
      <w:r>
        <w:rPr>
          <w:sz w:val="20"/>
          <w:szCs w:val="20"/>
        </w:rPr>
        <w:t xml:space="preserve"> </w:t>
      </w:r>
    </w:p>
    <w:p w14:paraId="4CD84EA5" w14:textId="77777777" w:rsidR="00AD3182" w:rsidRDefault="00000000">
      <w:pPr>
        <w:pStyle w:val="authoraffiliation"/>
        <w:ind w:left="0"/>
        <w:jc w:val="both"/>
        <w:rPr>
          <w:i/>
          <w:iCs/>
          <w:lang w:val="ru-RU"/>
        </w:rPr>
      </w:pPr>
      <w:r>
        <w:rPr>
          <w:i/>
          <w:iCs/>
          <w:vertAlign w:val="superscript"/>
          <w:lang w:val="ru-RU"/>
        </w:rPr>
        <w:t>1</w:t>
      </w:r>
      <w:r>
        <w:rPr>
          <w:i/>
          <w:iCs/>
          <w:lang w:val="ru-RU"/>
        </w:rPr>
        <w:t>НИИ ядерной физики Московского государственного университета, Москва</w:t>
      </w:r>
      <w:r>
        <w:rPr>
          <w:i/>
          <w:iCs/>
        </w:rPr>
        <w:t xml:space="preserve">, 119991, </w:t>
      </w:r>
      <w:r>
        <w:rPr>
          <w:i/>
          <w:iCs/>
          <w:lang w:val="ru-RU"/>
        </w:rPr>
        <w:t>Россия</w:t>
      </w:r>
      <w:r>
        <w:rPr>
          <w:i/>
          <w:iCs/>
        </w:rPr>
        <w:t xml:space="preserve">, </w:t>
      </w:r>
    </w:p>
    <w:p w14:paraId="214DF386" w14:textId="77777777" w:rsidR="00AD3182" w:rsidRDefault="00000000">
      <w:pPr>
        <w:pStyle w:val="authoraffiliation"/>
        <w:ind w:left="0"/>
        <w:jc w:val="both"/>
        <w:rPr>
          <w:i/>
          <w:iCs/>
        </w:rPr>
      </w:pPr>
      <w:r>
        <w:rPr>
          <w:i/>
          <w:iCs/>
          <w:color w:val="000000" w:themeColor="text1"/>
        </w:rPr>
        <w:t xml:space="preserve">    </w:t>
      </w:r>
      <w:hyperlink r:id="rId7" w:history="1">
        <w:r w:rsidR="00AD3182">
          <w:rPr>
            <w:rStyle w:val="a3"/>
            <w:i/>
            <w:iCs/>
            <w:color w:val="000000" w:themeColor="text1"/>
            <w:u w:val="none"/>
          </w:rPr>
          <w:t>elizaveta.antonova@gmail.com</w:t>
        </w:r>
      </w:hyperlink>
      <w:r>
        <w:rPr>
          <w:i/>
          <w:iCs/>
        </w:rPr>
        <w:t xml:space="preserve"> </w:t>
      </w:r>
    </w:p>
    <w:p w14:paraId="46841E84" w14:textId="77777777" w:rsidR="00AD3182" w:rsidRDefault="00000000">
      <w:pPr>
        <w:pStyle w:val="authoraffiliation"/>
        <w:ind w:left="0"/>
        <w:jc w:val="both"/>
        <w:rPr>
          <w:i/>
          <w:iCs/>
          <w:lang w:val="ru-RU"/>
        </w:rPr>
      </w:pPr>
      <w:r>
        <w:rPr>
          <w:i/>
          <w:iCs/>
          <w:vertAlign w:val="superscript"/>
          <w:lang w:val="ru-RU"/>
        </w:rPr>
        <w:t>2</w:t>
      </w:r>
      <w:r>
        <w:rPr>
          <w:i/>
          <w:iCs/>
          <w:lang w:val="ru-RU"/>
        </w:rPr>
        <w:t>Институт космический исследований Российской Академии Наук</w:t>
      </w:r>
      <w:r>
        <w:rPr>
          <w:i/>
          <w:iCs/>
        </w:rPr>
        <w:t xml:space="preserve"> (</w:t>
      </w:r>
      <w:r>
        <w:rPr>
          <w:i/>
          <w:iCs/>
          <w:lang w:val="ru-RU"/>
        </w:rPr>
        <w:t>ИКИ РАН</w:t>
      </w:r>
      <w:r>
        <w:rPr>
          <w:i/>
          <w:iCs/>
        </w:rPr>
        <w:t>)</w:t>
      </w:r>
      <w:r>
        <w:rPr>
          <w:i/>
          <w:iCs/>
          <w:lang w:val="ru-RU"/>
        </w:rPr>
        <w:t>, Москва, Россия</w:t>
      </w:r>
    </w:p>
    <w:p w14:paraId="559388B1" w14:textId="77777777" w:rsidR="00AD3182" w:rsidRDefault="00000000">
      <w:pPr>
        <w:pStyle w:val="Default"/>
        <w:rPr>
          <w:i/>
          <w:iCs/>
          <w:sz w:val="20"/>
          <w:szCs w:val="20"/>
        </w:rPr>
      </w:pPr>
      <w:r>
        <w:rPr>
          <w:i/>
          <w:iCs/>
          <w:sz w:val="20"/>
          <w:szCs w:val="20"/>
          <w:vertAlign w:val="superscript"/>
        </w:rPr>
        <w:t>3</w:t>
      </w:r>
      <w:r>
        <w:rPr>
          <w:i/>
          <w:iCs/>
          <w:sz w:val="20"/>
          <w:szCs w:val="20"/>
        </w:rPr>
        <w:t>Университет Сантьяго де Чили, Чили</w:t>
      </w:r>
    </w:p>
    <w:p w14:paraId="17EFC6DE" w14:textId="77777777" w:rsidR="00AD3182" w:rsidRDefault="00000000">
      <w:pPr>
        <w:pStyle w:val="authoraffiliation"/>
        <w:ind w:left="0"/>
        <w:jc w:val="both"/>
        <w:rPr>
          <w:i/>
          <w:iCs/>
          <w:lang w:val="ru-RU"/>
        </w:rPr>
      </w:pPr>
      <w:r>
        <w:rPr>
          <w:i/>
          <w:iCs/>
          <w:vertAlign w:val="superscript"/>
          <w:lang w:val="ru-RU"/>
        </w:rPr>
        <w:t>4</w:t>
      </w:r>
      <w:r>
        <w:rPr>
          <w:i/>
          <w:iCs/>
          <w:lang w:val="ru-RU"/>
        </w:rPr>
        <w:t>Полярный геофизический институт КФС РАС</w:t>
      </w:r>
    </w:p>
    <w:p w14:paraId="64AD00F2" w14:textId="77777777" w:rsidR="00AD3182" w:rsidRDefault="00AD3182">
      <w:pPr>
        <w:ind w:left="142" w:hanging="142"/>
        <w:jc w:val="both"/>
        <w:rPr>
          <w:b/>
          <w:color w:val="000000"/>
          <w:sz w:val="20"/>
          <w:szCs w:val="20"/>
        </w:rPr>
      </w:pPr>
    </w:p>
    <w:p w14:paraId="5C0A3CFF" w14:textId="22B00353" w:rsidR="00AD3182" w:rsidRDefault="00000000">
      <w:pPr>
        <w:ind w:left="142" w:hanging="142"/>
        <w:jc w:val="both"/>
        <w:rPr>
          <w:b/>
          <w:color w:val="000000"/>
          <w:sz w:val="20"/>
          <w:szCs w:val="20"/>
          <w:lang w:val="en-US"/>
        </w:rPr>
      </w:pPr>
      <w:r>
        <w:rPr>
          <w:b/>
          <w:color w:val="000000"/>
          <w:sz w:val="20"/>
          <w:szCs w:val="20"/>
        </w:rPr>
        <w:t>Абстракт</w:t>
      </w:r>
    </w:p>
    <w:p w14:paraId="1C5D4795" w14:textId="7FE87035" w:rsidR="00760428" w:rsidRPr="008D151A" w:rsidRDefault="00760428" w:rsidP="008D151A">
      <w:pPr>
        <w:rPr>
          <w:bCs/>
          <w:color w:val="000000"/>
          <w:sz w:val="20"/>
          <w:szCs w:val="20"/>
        </w:rPr>
      </w:pPr>
      <w:r w:rsidRPr="00760428">
        <w:rPr>
          <w:bCs/>
          <w:color w:val="000000"/>
          <w:sz w:val="20"/>
          <w:szCs w:val="20"/>
        </w:rPr>
        <w:t xml:space="preserve">Вопросы, касающиеся механизмов формирования дискретных дуг полярных сияний и их усиления во время </w:t>
      </w:r>
      <w:proofErr w:type="spellStart"/>
      <w:r w:rsidRPr="00760428">
        <w:rPr>
          <w:bCs/>
          <w:color w:val="000000"/>
          <w:sz w:val="20"/>
          <w:szCs w:val="20"/>
        </w:rPr>
        <w:t>суббур</w:t>
      </w:r>
      <w:r w:rsidR="008D151A">
        <w:rPr>
          <w:bCs/>
          <w:color w:val="000000"/>
          <w:sz w:val="20"/>
          <w:szCs w:val="20"/>
        </w:rPr>
        <w:t>ь</w:t>
      </w:r>
      <w:proofErr w:type="spellEnd"/>
      <w:r w:rsidR="008D151A">
        <w:rPr>
          <w:bCs/>
          <w:color w:val="000000"/>
          <w:sz w:val="20"/>
          <w:szCs w:val="20"/>
        </w:rPr>
        <w:t>,</w:t>
      </w:r>
      <w:r w:rsidRPr="00760428">
        <w:rPr>
          <w:bCs/>
          <w:color w:val="000000"/>
          <w:sz w:val="20"/>
          <w:szCs w:val="20"/>
        </w:rPr>
        <w:t xml:space="preserve"> а также самой природы полярных сияний, давно служат предметом оживленных дискуссий и камнем преткновения для двух основных подходов к описанию магнитосферных процессов. На протяжении длительного времени разрабатываются теории, связывающие магнитосферные </w:t>
      </w:r>
      <w:proofErr w:type="spellStart"/>
      <w:r w:rsidRPr="00760428">
        <w:rPr>
          <w:bCs/>
          <w:color w:val="000000"/>
          <w:sz w:val="20"/>
          <w:szCs w:val="20"/>
        </w:rPr>
        <w:t>суббури</w:t>
      </w:r>
      <w:proofErr w:type="spellEnd"/>
      <w:r w:rsidRPr="00760428">
        <w:rPr>
          <w:bCs/>
          <w:color w:val="000000"/>
          <w:sz w:val="20"/>
          <w:szCs w:val="20"/>
        </w:rPr>
        <w:t xml:space="preserve"> и бури с процессами в хвосте магнитосферы Земли, в ходе которых энергия переносится из хвоста во внутреннюю </w:t>
      </w:r>
      <w:r w:rsidRPr="008D151A">
        <w:rPr>
          <w:bCs/>
          <w:color w:val="000000"/>
          <w:sz w:val="20"/>
          <w:szCs w:val="20"/>
        </w:rPr>
        <w:t>область магнитосферы, вызывая возникновение дискретных полярных сияний на ионосферных высотах</w:t>
      </w:r>
      <w:r w:rsidR="008D151A">
        <w:rPr>
          <w:bCs/>
          <w:color w:val="000000"/>
          <w:sz w:val="20"/>
          <w:szCs w:val="20"/>
        </w:rPr>
        <w:t xml:space="preserve">. </w:t>
      </w:r>
      <w:r w:rsidR="008D151A" w:rsidRPr="008D151A">
        <w:rPr>
          <w:bCs/>
          <w:color w:val="000000"/>
          <w:sz w:val="20"/>
          <w:szCs w:val="20"/>
        </w:rPr>
        <w:t>Обобщение результатов, приведшее к пересмотру взглядов в пользу альтернативных представлений о роли процессов внутри магнитосферы и проникновении в нее межпланетного магнитного поля (ММП), выделяет механизм формирования и усиления яркости дискретных авроральных дуг как ключевой фактор, определяющий динамику магнитосферы. Кратко изложены результаты недавних исследований, способствующие прояснению природы дискретных авроральных дуг.</w:t>
      </w:r>
    </w:p>
    <w:p w14:paraId="532E1122" w14:textId="77777777" w:rsidR="00AD3182" w:rsidRPr="008D151A" w:rsidRDefault="00AD3182" w:rsidP="008D151A">
      <w:pPr>
        <w:ind w:left="142" w:hanging="142"/>
        <w:rPr>
          <w:b/>
          <w:sz w:val="20"/>
          <w:szCs w:val="20"/>
        </w:rPr>
      </w:pPr>
    </w:p>
    <w:sectPr w:rsidR="00AD3182" w:rsidRPr="008D15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MBX12">
    <w:altName w:val="Calibri"/>
    <w:charset w:val="80"/>
    <w:family w:val="auto"/>
    <w:pitch w:val="default"/>
    <w:sig w:usb0="00000000" w:usb1="00000000" w:usb2="00000010" w:usb3="00000000" w:csb0="00020000" w:csb1="00000000"/>
  </w:font>
  <w:font w:name="CMR12">
    <w:altName w:val="Calibri"/>
    <w:charset w:val="80"/>
    <w:family w:val="auto"/>
    <w:pitch w:val="default"/>
    <w:sig w:usb0="00000000" w:usb1="00000000" w:usb2="00000010" w:usb3="00000000" w:csb0="00020000" w:csb1="00000000"/>
  </w:font>
  <w:font w:name="STIX-Regular">
    <w:altName w:val="Calibri"/>
    <w:charset w:val="80"/>
    <w:family w:val="swiss"/>
    <w:pitch w:val="default"/>
    <w:sig w:usb0="00000000" w:usb1="0000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Newton-Regular">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C7ECB"/>
    <w:multiLevelType w:val="singleLevel"/>
    <w:tmpl w:val="3C2C7ECB"/>
    <w:lvl w:ilvl="0">
      <w:start w:val="2"/>
      <w:numFmt w:val="decimal"/>
      <w:suff w:val="space"/>
      <w:lvlText w:val="%1."/>
      <w:lvlJc w:val="left"/>
    </w:lvl>
  </w:abstractNum>
  <w:abstractNum w:abstractNumId="1" w15:restartNumberingAfterBreak="0">
    <w:nsid w:val="72C2884E"/>
    <w:multiLevelType w:val="singleLevel"/>
    <w:tmpl w:val="72C2884E"/>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7D0D2CCC"/>
    <w:multiLevelType w:val="multilevel"/>
    <w:tmpl w:val="7D0D2C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07555547">
    <w:abstractNumId w:val="0"/>
  </w:num>
  <w:num w:numId="2" w16cid:durableId="1815414908">
    <w:abstractNumId w:val="2"/>
  </w:num>
  <w:num w:numId="3" w16cid:durableId="337536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grammar="clean"/>
  <w:defaultTabStop w:val="708"/>
  <w:hyphenationZone w:val="425"/>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962"/>
    <w:rsid w:val="8FB96428"/>
    <w:rsid w:val="9F7F4ABE"/>
    <w:rsid w:val="A39E37AA"/>
    <w:rsid w:val="A7DFEB73"/>
    <w:rsid w:val="B7E72B3C"/>
    <w:rsid w:val="B7FB2B20"/>
    <w:rsid w:val="BB7FFC2A"/>
    <w:rsid w:val="DE8ECB38"/>
    <w:rsid w:val="DF65CE67"/>
    <w:rsid w:val="DFB47367"/>
    <w:rsid w:val="EBFD92C2"/>
    <w:rsid w:val="EDF9F485"/>
    <w:rsid w:val="EFEDE2C7"/>
    <w:rsid w:val="F47EB268"/>
    <w:rsid w:val="F5FB84A6"/>
    <w:rsid w:val="F7F7EE8F"/>
    <w:rsid w:val="F9DFDDBD"/>
    <w:rsid w:val="FFF21FCE"/>
    <w:rsid w:val="0000226F"/>
    <w:rsid w:val="00006F1E"/>
    <w:rsid w:val="00010A61"/>
    <w:rsid w:val="00012C02"/>
    <w:rsid w:val="000141ED"/>
    <w:rsid w:val="00027075"/>
    <w:rsid w:val="00035AF7"/>
    <w:rsid w:val="00037D57"/>
    <w:rsid w:val="0004179D"/>
    <w:rsid w:val="00042DA7"/>
    <w:rsid w:val="0004485C"/>
    <w:rsid w:val="00044974"/>
    <w:rsid w:val="0004559D"/>
    <w:rsid w:val="00045F2A"/>
    <w:rsid w:val="0005064E"/>
    <w:rsid w:val="00057D42"/>
    <w:rsid w:val="00066E70"/>
    <w:rsid w:val="00072483"/>
    <w:rsid w:val="00077A66"/>
    <w:rsid w:val="0008003B"/>
    <w:rsid w:val="0008070C"/>
    <w:rsid w:val="000808A1"/>
    <w:rsid w:val="00080BA9"/>
    <w:rsid w:val="0008284E"/>
    <w:rsid w:val="00085E82"/>
    <w:rsid w:val="00096046"/>
    <w:rsid w:val="000A0B8B"/>
    <w:rsid w:val="000C008B"/>
    <w:rsid w:val="000C7D1E"/>
    <w:rsid w:val="000D2D29"/>
    <w:rsid w:val="000D4ECA"/>
    <w:rsid w:val="000E1B97"/>
    <w:rsid w:val="000E3B72"/>
    <w:rsid w:val="0010023A"/>
    <w:rsid w:val="001053B6"/>
    <w:rsid w:val="00106808"/>
    <w:rsid w:val="0011091B"/>
    <w:rsid w:val="001125D8"/>
    <w:rsid w:val="00116172"/>
    <w:rsid w:val="00126BFB"/>
    <w:rsid w:val="0012731B"/>
    <w:rsid w:val="001540B4"/>
    <w:rsid w:val="001622EB"/>
    <w:rsid w:val="0016250D"/>
    <w:rsid w:val="001643DE"/>
    <w:rsid w:val="001657BF"/>
    <w:rsid w:val="00172CEB"/>
    <w:rsid w:val="00173702"/>
    <w:rsid w:val="001763C5"/>
    <w:rsid w:val="001849BE"/>
    <w:rsid w:val="001855FA"/>
    <w:rsid w:val="00190157"/>
    <w:rsid w:val="00197883"/>
    <w:rsid w:val="001A044B"/>
    <w:rsid w:val="001A0E67"/>
    <w:rsid w:val="001A325D"/>
    <w:rsid w:val="001B104A"/>
    <w:rsid w:val="001B435D"/>
    <w:rsid w:val="001B6A72"/>
    <w:rsid w:val="001C306C"/>
    <w:rsid w:val="001C3DF6"/>
    <w:rsid w:val="001D4E10"/>
    <w:rsid w:val="001F2379"/>
    <w:rsid w:val="00201C9E"/>
    <w:rsid w:val="002030D0"/>
    <w:rsid w:val="00204C60"/>
    <w:rsid w:val="002117AD"/>
    <w:rsid w:val="00213880"/>
    <w:rsid w:val="00214EB5"/>
    <w:rsid w:val="002167D9"/>
    <w:rsid w:val="00222BDE"/>
    <w:rsid w:val="002234F7"/>
    <w:rsid w:val="00224754"/>
    <w:rsid w:val="00227BBD"/>
    <w:rsid w:val="0023567A"/>
    <w:rsid w:val="00240447"/>
    <w:rsid w:val="002415F1"/>
    <w:rsid w:val="00244285"/>
    <w:rsid w:val="002455A4"/>
    <w:rsid w:val="0024682E"/>
    <w:rsid w:val="00252223"/>
    <w:rsid w:val="002549F5"/>
    <w:rsid w:val="00267EA5"/>
    <w:rsid w:val="00271BC0"/>
    <w:rsid w:val="0027472C"/>
    <w:rsid w:val="00276DC4"/>
    <w:rsid w:val="00287EAE"/>
    <w:rsid w:val="00297C6B"/>
    <w:rsid w:val="002A5EB3"/>
    <w:rsid w:val="002A6E97"/>
    <w:rsid w:val="002B099B"/>
    <w:rsid w:val="002B4086"/>
    <w:rsid w:val="002C35DB"/>
    <w:rsid w:val="002C3FF2"/>
    <w:rsid w:val="002C543A"/>
    <w:rsid w:val="002C543E"/>
    <w:rsid w:val="002C5820"/>
    <w:rsid w:val="002C629F"/>
    <w:rsid w:val="002D16BD"/>
    <w:rsid w:val="002D2B96"/>
    <w:rsid w:val="002D72BA"/>
    <w:rsid w:val="002E08A3"/>
    <w:rsid w:val="002E3147"/>
    <w:rsid w:val="002E3E9E"/>
    <w:rsid w:val="0030032C"/>
    <w:rsid w:val="003007D3"/>
    <w:rsid w:val="003125A7"/>
    <w:rsid w:val="003200D5"/>
    <w:rsid w:val="0032124A"/>
    <w:rsid w:val="00325406"/>
    <w:rsid w:val="00326B82"/>
    <w:rsid w:val="003337D1"/>
    <w:rsid w:val="00334F3F"/>
    <w:rsid w:val="00335962"/>
    <w:rsid w:val="003362AA"/>
    <w:rsid w:val="00346CA6"/>
    <w:rsid w:val="0035436A"/>
    <w:rsid w:val="00354731"/>
    <w:rsid w:val="00355BED"/>
    <w:rsid w:val="0035734E"/>
    <w:rsid w:val="00377305"/>
    <w:rsid w:val="00386391"/>
    <w:rsid w:val="00386AA5"/>
    <w:rsid w:val="00392796"/>
    <w:rsid w:val="003954AC"/>
    <w:rsid w:val="00396679"/>
    <w:rsid w:val="003974E7"/>
    <w:rsid w:val="003A4639"/>
    <w:rsid w:val="003A6788"/>
    <w:rsid w:val="003A769A"/>
    <w:rsid w:val="003B70CD"/>
    <w:rsid w:val="003C0BC6"/>
    <w:rsid w:val="003D22FE"/>
    <w:rsid w:val="003D3C1A"/>
    <w:rsid w:val="003E0B96"/>
    <w:rsid w:val="003E2B5D"/>
    <w:rsid w:val="003E3031"/>
    <w:rsid w:val="003E5D32"/>
    <w:rsid w:val="003E6279"/>
    <w:rsid w:val="003F29EF"/>
    <w:rsid w:val="003F3411"/>
    <w:rsid w:val="003F3639"/>
    <w:rsid w:val="00411A2E"/>
    <w:rsid w:val="00411F9B"/>
    <w:rsid w:val="004178BF"/>
    <w:rsid w:val="00420D1D"/>
    <w:rsid w:val="00421285"/>
    <w:rsid w:val="004226E4"/>
    <w:rsid w:val="00427619"/>
    <w:rsid w:val="004359C8"/>
    <w:rsid w:val="00441E52"/>
    <w:rsid w:val="00443B79"/>
    <w:rsid w:val="00444AEF"/>
    <w:rsid w:val="004510A4"/>
    <w:rsid w:val="0045522B"/>
    <w:rsid w:val="00457082"/>
    <w:rsid w:val="00466DC3"/>
    <w:rsid w:val="00482E15"/>
    <w:rsid w:val="00483A16"/>
    <w:rsid w:val="00492B66"/>
    <w:rsid w:val="00497AD3"/>
    <w:rsid w:val="004A164E"/>
    <w:rsid w:val="004A2827"/>
    <w:rsid w:val="004A6E79"/>
    <w:rsid w:val="004A761E"/>
    <w:rsid w:val="004B20C5"/>
    <w:rsid w:val="004C0188"/>
    <w:rsid w:val="004C089F"/>
    <w:rsid w:val="004C6854"/>
    <w:rsid w:val="004C6CD3"/>
    <w:rsid w:val="004D03E8"/>
    <w:rsid w:val="004D609A"/>
    <w:rsid w:val="004D643A"/>
    <w:rsid w:val="004D6A56"/>
    <w:rsid w:val="004D6D54"/>
    <w:rsid w:val="004D7C0F"/>
    <w:rsid w:val="004E284E"/>
    <w:rsid w:val="004E6E39"/>
    <w:rsid w:val="004F167A"/>
    <w:rsid w:val="005012A6"/>
    <w:rsid w:val="00510D4C"/>
    <w:rsid w:val="00515111"/>
    <w:rsid w:val="00522AC7"/>
    <w:rsid w:val="005236D3"/>
    <w:rsid w:val="0053006E"/>
    <w:rsid w:val="0053256C"/>
    <w:rsid w:val="00540D06"/>
    <w:rsid w:val="00540E42"/>
    <w:rsid w:val="0055186D"/>
    <w:rsid w:val="00567FAA"/>
    <w:rsid w:val="00571349"/>
    <w:rsid w:val="005809C9"/>
    <w:rsid w:val="00586851"/>
    <w:rsid w:val="00593973"/>
    <w:rsid w:val="005A2E01"/>
    <w:rsid w:val="005A5C69"/>
    <w:rsid w:val="005A6099"/>
    <w:rsid w:val="005B1C7B"/>
    <w:rsid w:val="005B4B63"/>
    <w:rsid w:val="005B4D0F"/>
    <w:rsid w:val="005B5B45"/>
    <w:rsid w:val="005C29E7"/>
    <w:rsid w:val="005C3284"/>
    <w:rsid w:val="005C4B9C"/>
    <w:rsid w:val="005C4BE6"/>
    <w:rsid w:val="005C53EB"/>
    <w:rsid w:val="005C798F"/>
    <w:rsid w:val="005C7E1F"/>
    <w:rsid w:val="005D2B91"/>
    <w:rsid w:val="005D54D2"/>
    <w:rsid w:val="005D64AB"/>
    <w:rsid w:val="005D7104"/>
    <w:rsid w:val="005D7F89"/>
    <w:rsid w:val="005E30FF"/>
    <w:rsid w:val="005E7704"/>
    <w:rsid w:val="005F0720"/>
    <w:rsid w:val="005F112F"/>
    <w:rsid w:val="005F1C9E"/>
    <w:rsid w:val="005F45AE"/>
    <w:rsid w:val="005F6851"/>
    <w:rsid w:val="005F7E1A"/>
    <w:rsid w:val="006009EE"/>
    <w:rsid w:val="00600F05"/>
    <w:rsid w:val="006016B5"/>
    <w:rsid w:val="0061157B"/>
    <w:rsid w:val="006117E4"/>
    <w:rsid w:val="006124D5"/>
    <w:rsid w:val="00614F16"/>
    <w:rsid w:val="00616414"/>
    <w:rsid w:val="00617CFB"/>
    <w:rsid w:val="00620809"/>
    <w:rsid w:val="00631B5B"/>
    <w:rsid w:val="006334B1"/>
    <w:rsid w:val="00634924"/>
    <w:rsid w:val="00636D1F"/>
    <w:rsid w:val="006371B6"/>
    <w:rsid w:val="00643158"/>
    <w:rsid w:val="006525F4"/>
    <w:rsid w:val="0065580D"/>
    <w:rsid w:val="0065594D"/>
    <w:rsid w:val="00681333"/>
    <w:rsid w:val="006831C1"/>
    <w:rsid w:val="00691BC3"/>
    <w:rsid w:val="00692C50"/>
    <w:rsid w:val="00695587"/>
    <w:rsid w:val="006964DE"/>
    <w:rsid w:val="006A02AA"/>
    <w:rsid w:val="006A40A2"/>
    <w:rsid w:val="006A61B3"/>
    <w:rsid w:val="006B334E"/>
    <w:rsid w:val="006C24D1"/>
    <w:rsid w:val="006D08DD"/>
    <w:rsid w:val="006D7395"/>
    <w:rsid w:val="006E3124"/>
    <w:rsid w:val="006E58F7"/>
    <w:rsid w:val="006F05C2"/>
    <w:rsid w:val="006F1292"/>
    <w:rsid w:val="006F252B"/>
    <w:rsid w:val="006F340B"/>
    <w:rsid w:val="006F6664"/>
    <w:rsid w:val="00701799"/>
    <w:rsid w:val="00701B34"/>
    <w:rsid w:val="00705BEE"/>
    <w:rsid w:val="00713BFE"/>
    <w:rsid w:val="007176B6"/>
    <w:rsid w:val="00722D06"/>
    <w:rsid w:val="00730546"/>
    <w:rsid w:val="0074114F"/>
    <w:rsid w:val="00741FC2"/>
    <w:rsid w:val="00743CB7"/>
    <w:rsid w:val="00746096"/>
    <w:rsid w:val="0075039A"/>
    <w:rsid w:val="00752899"/>
    <w:rsid w:val="007529CF"/>
    <w:rsid w:val="00760428"/>
    <w:rsid w:val="00771228"/>
    <w:rsid w:val="00771260"/>
    <w:rsid w:val="0078281F"/>
    <w:rsid w:val="00792BDA"/>
    <w:rsid w:val="00794D66"/>
    <w:rsid w:val="00795129"/>
    <w:rsid w:val="007B502F"/>
    <w:rsid w:val="007B6837"/>
    <w:rsid w:val="007B6987"/>
    <w:rsid w:val="007C0094"/>
    <w:rsid w:val="007C1C34"/>
    <w:rsid w:val="007C213B"/>
    <w:rsid w:val="007C544F"/>
    <w:rsid w:val="007C6B19"/>
    <w:rsid w:val="007C7625"/>
    <w:rsid w:val="007C773E"/>
    <w:rsid w:val="007D2131"/>
    <w:rsid w:val="007D3B38"/>
    <w:rsid w:val="007D3B57"/>
    <w:rsid w:val="007E18CA"/>
    <w:rsid w:val="007E39BE"/>
    <w:rsid w:val="007F002C"/>
    <w:rsid w:val="007F3190"/>
    <w:rsid w:val="008136C8"/>
    <w:rsid w:val="00820802"/>
    <w:rsid w:val="00820FE8"/>
    <w:rsid w:val="0082710E"/>
    <w:rsid w:val="00840DF9"/>
    <w:rsid w:val="0084368B"/>
    <w:rsid w:val="00850237"/>
    <w:rsid w:val="00852FAA"/>
    <w:rsid w:val="008530C6"/>
    <w:rsid w:val="008574E4"/>
    <w:rsid w:val="00861709"/>
    <w:rsid w:val="00861DAB"/>
    <w:rsid w:val="0086226D"/>
    <w:rsid w:val="008707D7"/>
    <w:rsid w:val="00870882"/>
    <w:rsid w:val="00882215"/>
    <w:rsid w:val="00883E67"/>
    <w:rsid w:val="00885C96"/>
    <w:rsid w:val="00887C88"/>
    <w:rsid w:val="00892793"/>
    <w:rsid w:val="00894F89"/>
    <w:rsid w:val="008C0A9F"/>
    <w:rsid w:val="008C70FD"/>
    <w:rsid w:val="008D0868"/>
    <w:rsid w:val="008D151A"/>
    <w:rsid w:val="008D4ED8"/>
    <w:rsid w:val="008D64E2"/>
    <w:rsid w:val="008E3890"/>
    <w:rsid w:val="008E6DFC"/>
    <w:rsid w:val="008F3C08"/>
    <w:rsid w:val="008F5072"/>
    <w:rsid w:val="0090090B"/>
    <w:rsid w:val="009036A7"/>
    <w:rsid w:val="00904774"/>
    <w:rsid w:val="0090559A"/>
    <w:rsid w:val="009105D6"/>
    <w:rsid w:val="00912552"/>
    <w:rsid w:val="009231C8"/>
    <w:rsid w:val="00923B6A"/>
    <w:rsid w:val="009260AD"/>
    <w:rsid w:val="00927ECB"/>
    <w:rsid w:val="009349D5"/>
    <w:rsid w:val="009452E0"/>
    <w:rsid w:val="00945BD8"/>
    <w:rsid w:val="00945F6A"/>
    <w:rsid w:val="00946515"/>
    <w:rsid w:val="00946C32"/>
    <w:rsid w:val="00954B01"/>
    <w:rsid w:val="009616A8"/>
    <w:rsid w:val="00963A65"/>
    <w:rsid w:val="00963BBD"/>
    <w:rsid w:val="009642D2"/>
    <w:rsid w:val="0096437A"/>
    <w:rsid w:val="00965C67"/>
    <w:rsid w:val="00966426"/>
    <w:rsid w:val="00983459"/>
    <w:rsid w:val="0098365B"/>
    <w:rsid w:val="009900FA"/>
    <w:rsid w:val="009A042D"/>
    <w:rsid w:val="009A0B40"/>
    <w:rsid w:val="009A2B94"/>
    <w:rsid w:val="009A2F94"/>
    <w:rsid w:val="009A5786"/>
    <w:rsid w:val="009A5838"/>
    <w:rsid w:val="009B0BCD"/>
    <w:rsid w:val="009C1449"/>
    <w:rsid w:val="009C6428"/>
    <w:rsid w:val="009C6D37"/>
    <w:rsid w:val="009C71D0"/>
    <w:rsid w:val="009D0AC9"/>
    <w:rsid w:val="009D5FEA"/>
    <w:rsid w:val="009D751C"/>
    <w:rsid w:val="009D7DA4"/>
    <w:rsid w:val="009E2709"/>
    <w:rsid w:val="009E59C8"/>
    <w:rsid w:val="009E7E8C"/>
    <w:rsid w:val="009F77A3"/>
    <w:rsid w:val="009F7EE8"/>
    <w:rsid w:val="00A005C1"/>
    <w:rsid w:val="00A05345"/>
    <w:rsid w:val="00A10B57"/>
    <w:rsid w:val="00A226FC"/>
    <w:rsid w:val="00A22B80"/>
    <w:rsid w:val="00A261EB"/>
    <w:rsid w:val="00A27070"/>
    <w:rsid w:val="00A50BDE"/>
    <w:rsid w:val="00A57C05"/>
    <w:rsid w:val="00A70DC7"/>
    <w:rsid w:val="00A72D2B"/>
    <w:rsid w:val="00A734E6"/>
    <w:rsid w:val="00A73B2D"/>
    <w:rsid w:val="00A8140C"/>
    <w:rsid w:val="00A84C0E"/>
    <w:rsid w:val="00A905C2"/>
    <w:rsid w:val="00A90FDF"/>
    <w:rsid w:val="00A9404D"/>
    <w:rsid w:val="00AA0DA8"/>
    <w:rsid w:val="00AA15E3"/>
    <w:rsid w:val="00AA4E3D"/>
    <w:rsid w:val="00AA55F1"/>
    <w:rsid w:val="00AB35FB"/>
    <w:rsid w:val="00AC2375"/>
    <w:rsid w:val="00AC7BDC"/>
    <w:rsid w:val="00AD16D1"/>
    <w:rsid w:val="00AD2EBB"/>
    <w:rsid w:val="00AD3182"/>
    <w:rsid w:val="00AD6959"/>
    <w:rsid w:val="00AE1E71"/>
    <w:rsid w:val="00AE2796"/>
    <w:rsid w:val="00AE3E88"/>
    <w:rsid w:val="00AE4CA5"/>
    <w:rsid w:val="00AF1187"/>
    <w:rsid w:val="00B04C26"/>
    <w:rsid w:val="00B05804"/>
    <w:rsid w:val="00B07E1F"/>
    <w:rsid w:val="00B10DEB"/>
    <w:rsid w:val="00B229CC"/>
    <w:rsid w:val="00B25A00"/>
    <w:rsid w:val="00B261DB"/>
    <w:rsid w:val="00B263EB"/>
    <w:rsid w:val="00B3257E"/>
    <w:rsid w:val="00B33E04"/>
    <w:rsid w:val="00B35C82"/>
    <w:rsid w:val="00B518F1"/>
    <w:rsid w:val="00B54746"/>
    <w:rsid w:val="00B5757D"/>
    <w:rsid w:val="00B7696A"/>
    <w:rsid w:val="00B83D2D"/>
    <w:rsid w:val="00B868F1"/>
    <w:rsid w:val="00B91DAF"/>
    <w:rsid w:val="00BA2E9E"/>
    <w:rsid w:val="00BB00F6"/>
    <w:rsid w:val="00BB030F"/>
    <w:rsid w:val="00BD15D2"/>
    <w:rsid w:val="00BD1F83"/>
    <w:rsid w:val="00BD3521"/>
    <w:rsid w:val="00BD6F93"/>
    <w:rsid w:val="00BE1243"/>
    <w:rsid w:val="00BE16AC"/>
    <w:rsid w:val="00BE47AC"/>
    <w:rsid w:val="00BE6443"/>
    <w:rsid w:val="00BF0625"/>
    <w:rsid w:val="00BF617D"/>
    <w:rsid w:val="00C07560"/>
    <w:rsid w:val="00C17D06"/>
    <w:rsid w:val="00C17D71"/>
    <w:rsid w:val="00C2448B"/>
    <w:rsid w:val="00C2631F"/>
    <w:rsid w:val="00C319C1"/>
    <w:rsid w:val="00C33442"/>
    <w:rsid w:val="00C350EC"/>
    <w:rsid w:val="00C36BEA"/>
    <w:rsid w:val="00C37039"/>
    <w:rsid w:val="00C50B67"/>
    <w:rsid w:val="00C52DF7"/>
    <w:rsid w:val="00C545A2"/>
    <w:rsid w:val="00C54C93"/>
    <w:rsid w:val="00C56154"/>
    <w:rsid w:val="00C57EA5"/>
    <w:rsid w:val="00C672EE"/>
    <w:rsid w:val="00C67C70"/>
    <w:rsid w:val="00C80038"/>
    <w:rsid w:val="00C83FAE"/>
    <w:rsid w:val="00C87390"/>
    <w:rsid w:val="00C90A76"/>
    <w:rsid w:val="00C92959"/>
    <w:rsid w:val="00C92AAD"/>
    <w:rsid w:val="00CA23BE"/>
    <w:rsid w:val="00CC17E4"/>
    <w:rsid w:val="00CC1D6B"/>
    <w:rsid w:val="00CC2CFE"/>
    <w:rsid w:val="00CD3CCE"/>
    <w:rsid w:val="00CD407C"/>
    <w:rsid w:val="00CD789D"/>
    <w:rsid w:val="00CE1C8B"/>
    <w:rsid w:val="00CE42D3"/>
    <w:rsid w:val="00CE59D3"/>
    <w:rsid w:val="00CF0798"/>
    <w:rsid w:val="00CF4B54"/>
    <w:rsid w:val="00D130A0"/>
    <w:rsid w:val="00D13E3D"/>
    <w:rsid w:val="00D17B1D"/>
    <w:rsid w:val="00D25E4F"/>
    <w:rsid w:val="00D30416"/>
    <w:rsid w:val="00D37301"/>
    <w:rsid w:val="00D41045"/>
    <w:rsid w:val="00D47769"/>
    <w:rsid w:val="00D51BEF"/>
    <w:rsid w:val="00D52333"/>
    <w:rsid w:val="00D52C74"/>
    <w:rsid w:val="00D5362B"/>
    <w:rsid w:val="00D54BEE"/>
    <w:rsid w:val="00D55349"/>
    <w:rsid w:val="00D62EAE"/>
    <w:rsid w:val="00D63CFC"/>
    <w:rsid w:val="00D64A1F"/>
    <w:rsid w:val="00D73FB7"/>
    <w:rsid w:val="00D87337"/>
    <w:rsid w:val="00D903B9"/>
    <w:rsid w:val="00D915D1"/>
    <w:rsid w:val="00D971AC"/>
    <w:rsid w:val="00D97743"/>
    <w:rsid w:val="00DA144D"/>
    <w:rsid w:val="00DB2CDE"/>
    <w:rsid w:val="00DB4FAC"/>
    <w:rsid w:val="00DB71A6"/>
    <w:rsid w:val="00DC7157"/>
    <w:rsid w:val="00DE2698"/>
    <w:rsid w:val="00DE437F"/>
    <w:rsid w:val="00DE50A9"/>
    <w:rsid w:val="00DF5317"/>
    <w:rsid w:val="00E04E5D"/>
    <w:rsid w:val="00E1093C"/>
    <w:rsid w:val="00E16A51"/>
    <w:rsid w:val="00E2164B"/>
    <w:rsid w:val="00E24B0F"/>
    <w:rsid w:val="00E263AD"/>
    <w:rsid w:val="00E27347"/>
    <w:rsid w:val="00E42C7E"/>
    <w:rsid w:val="00E42F0D"/>
    <w:rsid w:val="00E5058B"/>
    <w:rsid w:val="00E51C44"/>
    <w:rsid w:val="00E54A65"/>
    <w:rsid w:val="00E56D51"/>
    <w:rsid w:val="00E57F11"/>
    <w:rsid w:val="00E60A7D"/>
    <w:rsid w:val="00E6611A"/>
    <w:rsid w:val="00E66ADD"/>
    <w:rsid w:val="00E71E4A"/>
    <w:rsid w:val="00E74BD2"/>
    <w:rsid w:val="00E74E07"/>
    <w:rsid w:val="00E7605A"/>
    <w:rsid w:val="00E77AEC"/>
    <w:rsid w:val="00E82B3A"/>
    <w:rsid w:val="00E9176A"/>
    <w:rsid w:val="00E933D4"/>
    <w:rsid w:val="00E95CC6"/>
    <w:rsid w:val="00E9726F"/>
    <w:rsid w:val="00E97546"/>
    <w:rsid w:val="00EA0049"/>
    <w:rsid w:val="00EB1ACD"/>
    <w:rsid w:val="00EB47DE"/>
    <w:rsid w:val="00EB4FA0"/>
    <w:rsid w:val="00EC14FC"/>
    <w:rsid w:val="00EC22E0"/>
    <w:rsid w:val="00EC407B"/>
    <w:rsid w:val="00EC4328"/>
    <w:rsid w:val="00EC5845"/>
    <w:rsid w:val="00EC7B4A"/>
    <w:rsid w:val="00EC7D3D"/>
    <w:rsid w:val="00ED249F"/>
    <w:rsid w:val="00ED3BC2"/>
    <w:rsid w:val="00ED7AAB"/>
    <w:rsid w:val="00EE104D"/>
    <w:rsid w:val="00EE46C6"/>
    <w:rsid w:val="00F005BD"/>
    <w:rsid w:val="00F01D2B"/>
    <w:rsid w:val="00F02449"/>
    <w:rsid w:val="00F02B94"/>
    <w:rsid w:val="00F03CF7"/>
    <w:rsid w:val="00F06420"/>
    <w:rsid w:val="00F125E1"/>
    <w:rsid w:val="00F13BB0"/>
    <w:rsid w:val="00F21C50"/>
    <w:rsid w:val="00F267A7"/>
    <w:rsid w:val="00F2694E"/>
    <w:rsid w:val="00F3451C"/>
    <w:rsid w:val="00F35EBE"/>
    <w:rsid w:val="00F40872"/>
    <w:rsid w:val="00F40991"/>
    <w:rsid w:val="00F4651A"/>
    <w:rsid w:val="00F524D7"/>
    <w:rsid w:val="00F56A38"/>
    <w:rsid w:val="00F61604"/>
    <w:rsid w:val="00F67CBB"/>
    <w:rsid w:val="00F72CDD"/>
    <w:rsid w:val="00F73D97"/>
    <w:rsid w:val="00F802A0"/>
    <w:rsid w:val="00F81E5A"/>
    <w:rsid w:val="00F92FF9"/>
    <w:rsid w:val="00F9532C"/>
    <w:rsid w:val="00FA25E5"/>
    <w:rsid w:val="00FC2DCE"/>
    <w:rsid w:val="00FC5F65"/>
    <w:rsid w:val="00FD2016"/>
    <w:rsid w:val="00FD5844"/>
    <w:rsid w:val="00FE45A6"/>
    <w:rsid w:val="00FF4040"/>
    <w:rsid w:val="00FF5694"/>
    <w:rsid w:val="00FF5A86"/>
    <w:rsid w:val="07E77887"/>
    <w:rsid w:val="1ADB1E56"/>
    <w:rsid w:val="1EFA6921"/>
    <w:rsid w:val="2FFD17D4"/>
    <w:rsid w:val="32DF4D4D"/>
    <w:rsid w:val="4E9F7D30"/>
    <w:rsid w:val="5FFF3D8D"/>
    <w:rsid w:val="61BFBED6"/>
    <w:rsid w:val="79FF6816"/>
    <w:rsid w:val="7BF51468"/>
    <w:rsid w:val="7EEE1600"/>
    <w:rsid w:val="7FBB5A34"/>
    <w:rsid w:val="7FDFAA55"/>
    <w:rsid w:val="7FFCACBE"/>
    <w:rsid w:val="7FFFE6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D393F"/>
  <w15:docId w15:val="{A27A5FE6-40DF-4E2C-8475-54322C70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sz w:val="24"/>
      <w:szCs w:val="24"/>
    </w:rPr>
  </w:style>
  <w:style w:type="paragraph" w:styleId="1">
    <w:name w:val="heading 1"/>
    <w:basedOn w:val="a"/>
    <w:next w:val="a"/>
    <w:link w:val="10"/>
    <w:uiPriority w:val="9"/>
    <w:qFormat/>
    <w:pPr>
      <w:keepNext/>
      <w:keepLines/>
      <w:spacing w:before="240"/>
      <w:outlineLvl w:val="0"/>
    </w:pPr>
    <w:rPr>
      <w:rFonts w:ascii="Arial" w:eastAsiaTheme="majorEastAsia" w:hAnsi="Arial" w:cstheme="majorBidi"/>
      <w:sz w:val="32"/>
      <w:szCs w:val="32"/>
    </w:rPr>
  </w:style>
  <w:style w:type="paragraph" w:styleId="2">
    <w:name w:val="heading 2"/>
    <w:basedOn w:val="a"/>
    <w:next w:val="a"/>
    <w:link w:val="20"/>
    <w:uiPriority w:val="9"/>
    <w:unhideWhenUsed/>
    <w:qFormat/>
    <w:pPr>
      <w:keepNext/>
      <w:keepLines/>
      <w:spacing w:before="40"/>
      <w:outlineLvl w:val="1"/>
    </w:pPr>
    <w:rPr>
      <w:rFonts w:ascii="Arial" w:eastAsiaTheme="majorEastAsia" w:hAnsi="Arial" w:cstheme="majorBidi"/>
      <w:sz w:val="28"/>
      <w:szCs w:val="26"/>
    </w:rPr>
  </w:style>
  <w:style w:type="paragraph" w:styleId="3">
    <w:name w:val="heading 3"/>
    <w:basedOn w:val="a"/>
    <w:next w:val="a"/>
    <w:link w:val="30"/>
    <w:uiPriority w:val="9"/>
    <w:unhideWhenUsed/>
    <w:qFormat/>
    <w:pPr>
      <w:keepNext/>
      <w:keepLines/>
      <w:spacing w:before="40"/>
      <w:outlineLvl w:val="2"/>
    </w:pPr>
    <w:rPr>
      <w:rFonts w:ascii="Arial" w:eastAsiaTheme="majorEastAsia" w:hAnsi="Arial" w:cstheme="majorBidi"/>
    </w:rPr>
  </w:style>
  <w:style w:type="paragraph" w:styleId="4">
    <w:name w:val="heading 4"/>
    <w:basedOn w:val="a"/>
    <w:next w:val="a"/>
    <w:link w:val="40"/>
    <w:uiPriority w:val="9"/>
    <w:semiHidden/>
    <w:unhideWhenUsed/>
    <w:qFormat/>
    <w:pPr>
      <w:keepNext/>
      <w:keepLines/>
      <w:spacing w:before="40"/>
      <w:outlineLvl w:val="3"/>
    </w:pPr>
    <w:rPr>
      <w:rFonts w:ascii="Arial" w:eastAsiaTheme="majorEastAsia" w:hAnsi="Arial" w:cstheme="majorBidi"/>
      <w:i/>
      <w:iCs/>
    </w:rPr>
  </w:style>
  <w:style w:type="paragraph" w:styleId="5">
    <w:name w:val="heading 5"/>
    <w:basedOn w:val="a"/>
    <w:next w:val="a"/>
    <w:link w:val="50"/>
    <w:uiPriority w:val="9"/>
    <w:unhideWhenUsed/>
    <w:qFormat/>
    <w:pPr>
      <w:keepNext/>
      <w:keepLines/>
      <w:spacing w:before="40"/>
      <w:outlineLvl w:val="4"/>
    </w:pPr>
    <w:rPr>
      <w:rFonts w:ascii="Arial" w:eastAsiaTheme="majorEastAsia" w:hAnsi="Arial" w:cstheme="majorBidi"/>
    </w:rPr>
  </w:style>
  <w:style w:type="paragraph" w:styleId="6">
    <w:name w:val="heading 6"/>
    <w:basedOn w:val="a"/>
    <w:next w:val="a"/>
    <w:link w:val="60"/>
    <w:uiPriority w:val="9"/>
    <w:semiHidden/>
    <w:unhideWhenUsed/>
    <w:qFormat/>
    <w:pPr>
      <w:keepNext/>
      <w:keepLines/>
      <w:spacing w:before="40"/>
      <w:outlineLvl w:val="5"/>
    </w:pPr>
    <w:rPr>
      <w:rFonts w:asciiTheme="majorHAnsi" w:eastAsiaTheme="majorEastAsia" w:hAnsiTheme="majorHAnsi" w:cstheme="majorBidi"/>
      <w:i/>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3">
    <w:name w:val="Hyperlink"/>
    <w:basedOn w:val="a0"/>
    <w:uiPriority w:val="99"/>
    <w:unhideWhenUsed/>
    <w:qFormat/>
    <w:rPr>
      <w:color w:val="0000FF"/>
      <w:u w:val="single"/>
    </w:rPr>
  </w:style>
  <w:style w:type="paragraph" w:styleId="a4">
    <w:name w:val="Normal (Web)"/>
    <w:basedOn w:val="a"/>
    <w:uiPriority w:val="99"/>
    <w:semiHidden/>
    <w:unhideWhenUsed/>
    <w:qFormat/>
    <w:pPr>
      <w:spacing w:before="100" w:beforeAutospacing="1" w:after="100" w:afterAutospacing="1"/>
    </w:pPr>
  </w:style>
  <w:style w:type="paragraph" w:styleId="a5">
    <w:name w:val="Subtitle"/>
    <w:basedOn w:val="a"/>
    <w:next w:val="a"/>
    <w:link w:val="a6"/>
    <w:uiPriority w:val="11"/>
    <w:qFormat/>
    <w:rPr>
      <w:rFonts w:ascii="Arial" w:eastAsiaTheme="minorEastAsia" w:hAnsi="Arial"/>
      <w:color w:val="595959" w:themeColor="text1" w:themeTint="A6"/>
      <w:spacing w:val="15"/>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pPr>
      <w:contextualSpacing/>
    </w:pPr>
    <w:rPr>
      <w:rFonts w:ascii="Arial" w:eastAsiaTheme="majorEastAsia" w:hAnsi="Arial" w:cstheme="majorBidi"/>
      <w:spacing w:val="-10"/>
      <w:kern w:val="28"/>
      <w:sz w:val="48"/>
      <w:szCs w:val="56"/>
    </w:rPr>
  </w:style>
  <w:style w:type="paragraph" w:styleId="aa">
    <w:name w:val="No Spacing"/>
    <w:uiPriority w:val="1"/>
    <w:qFormat/>
    <w:rPr>
      <w:rFonts w:eastAsiaTheme="minorHAnsi" w:cstheme="minorBidi"/>
      <w:sz w:val="24"/>
      <w:szCs w:val="22"/>
      <w:lang w:eastAsia="en-US"/>
    </w:rPr>
  </w:style>
  <w:style w:type="character" w:customStyle="1" w:styleId="10">
    <w:name w:val="Заголовок 1 Знак"/>
    <w:basedOn w:val="a0"/>
    <w:link w:val="1"/>
    <w:uiPriority w:val="9"/>
    <w:qFormat/>
    <w:rPr>
      <w:rFonts w:ascii="Arial" w:eastAsiaTheme="majorEastAsia" w:hAnsi="Arial" w:cstheme="majorBidi"/>
      <w:sz w:val="32"/>
      <w:szCs w:val="32"/>
    </w:rPr>
  </w:style>
  <w:style w:type="character" w:customStyle="1" w:styleId="20">
    <w:name w:val="Заголовок 2 Знак"/>
    <w:basedOn w:val="a0"/>
    <w:link w:val="2"/>
    <w:uiPriority w:val="9"/>
    <w:qFormat/>
    <w:rPr>
      <w:rFonts w:ascii="Arial" w:eastAsiaTheme="majorEastAsia" w:hAnsi="Arial" w:cstheme="majorBidi"/>
      <w:sz w:val="28"/>
      <w:szCs w:val="26"/>
    </w:rPr>
  </w:style>
  <w:style w:type="character" w:customStyle="1" w:styleId="30">
    <w:name w:val="Заголовок 3 Знак"/>
    <w:basedOn w:val="a0"/>
    <w:link w:val="3"/>
    <w:uiPriority w:val="9"/>
    <w:qFormat/>
    <w:rPr>
      <w:rFonts w:ascii="Arial" w:eastAsiaTheme="majorEastAsia" w:hAnsi="Arial" w:cstheme="majorBidi"/>
      <w:sz w:val="24"/>
      <w:szCs w:val="24"/>
    </w:rPr>
  </w:style>
  <w:style w:type="character" w:customStyle="1" w:styleId="40">
    <w:name w:val="Заголовок 4 Знак"/>
    <w:basedOn w:val="a0"/>
    <w:link w:val="4"/>
    <w:uiPriority w:val="9"/>
    <w:semiHidden/>
    <w:qFormat/>
    <w:rPr>
      <w:rFonts w:ascii="Arial" w:eastAsiaTheme="majorEastAsia" w:hAnsi="Arial" w:cstheme="majorBidi"/>
      <w:i/>
      <w:iCs/>
      <w:sz w:val="24"/>
    </w:rPr>
  </w:style>
  <w:style w:type="character" w:customStyle="1" w:styleId="50">
    <w:name w:val="Заголовок 5 Знак"/>
    <w:basedOn w:val="a0"/>
    <w:link w:val="5"/>
    <w:uiPriority w:val="9"/>
    <w:qFormat/>
    <w:rPr>
      <w:rFonts w:ascii="Arial" w:eastAsiaTheme="majorEastAsia" w:hAnsi="Arial" w:cstheme="majorBidi"/>
      <w:sz w:val="24"/>
    </w:rPr>
  </w:style>
  <w:style w:type="character" w:customStyle="1" w:styleId="a9">
    <w:name w:val="Заголовок Знак"/>
    <w:basedOn w:val="a0"/>
    <w:link w:val="a8"/>
    <w:uiPriority w:val="10"/>
    <w:qFormat/>
    <w:rPr>
      <w:rFonts w:ascii="Arial" w:eastAsiaTheme="majorEastAsia" w:hAnsi="Arial" w:cstheme="majorBidi"/>
      <w:spacing w:val="-10"/>
      <w:kern w:val="28"/>
      <w:sz w:val="48"/>
      <w:szCs w:val="56"/>
    </w:rPr>
  </w:style>
  <w:style w:type="character" w:customStyle="1" w:styleId="a6">
    <w:name w:val="Подзаголовок Знак"/>
    <w:basedOn w:val="a0"/>
    <w:link w:val="a5"/>
    <w:uiPriority w:val="11"/>
    <w:qFormat/>
    <w:rPr>
      <w:rFonts w:ascii="Arial" w:eastAsiaTheme="minorEastAsia" w:hAnsi="Arial"/>
      <w:color w:val="595959" w:themeColor="text1" w:themeTint="A6"/>
      <w:spacing w:val="15"/>
      <w:sz w:val="24"/>
    </w:rPr>
  </w:style>
  <w:style w:type="character" w:customStyle="1" w:styleId="60">
    <w:name w:val="Заголовок 6 Знак"/>
    <w:basedOn w:val="a0"/>
    <w:link w:val="6"/>
    <w:uiPriority w:val="9"/>
    <w:semiHidden/>
    <w:qFormat/>
    <w:rPr>
      <w:rFonts w:asciiTheme="majorHAnsi" w:eastAsiaTheme="majorEastAsia" w:hAnsiTheme="majorHAnsi" w:cstheme="majorBidi"/>
      <w:i/>
      <w:sz w:val="20"/>
    </w:rPr>
  </w:style>
  <w:style w:type="paragraph" w:customStyle="1" w:styleId="authoraffiliation">
    <w:name w:val="author affiliation"/>
    <w:qFormat/>
    <w:pPr>
      <w:ind w:left="540" w:right="-1"/>
    </w:pPr>
    <w:rPr>
      <w:rFonts w:eastAsia="Times New Roman"/>
      <w:lang w:val="bg-BG" w:eastAsia="bg-BG"/>
    </w:rPr>
  </w:style>
  <w:style w:type="paragraph" w:customStyle="1" w:styleId="Default">
    <w:name w:val="Default"/>
    <w:qFormat/>
    <w:pPr>
      <w:autoSpaceDE w:val="0"/>
      <w:autoSpaceDN w:val="0"/>
      <w:adjustRightInd w:val="0"/>
    </w:pPr>
    <w:rPr>
      <w:rFonts w:eastAsia="Times New Roman"/>
      <w:color w:val="000000"/>
      <w:sz w:val="24"/>
      <w:szCs w:val="24"/>
    </w:rPr>
  </w:style>
  <w:style w:type="character" w:customStyle="1" w:styleId="-">
    <w:name w:val="Интернет-ссылка"/>
    <w:uiPriority w:val="99"/>
    <w:unhideWhenUsed/>
    <w:qFormat/>
    <w:rPr>
      <w:color w:val="0563C1"/>
      <w:u w:val="single"/>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y2iqfc">
    <w:name w:val="y2iqfc"/>
    <w:basedOn w:val="a0"/>
    <w:qFormat/>
  </w:style>
  <w:style w:type="paragraph" w:styleId="ab">
    <w:name w:val="List Paragraph"/>
    <w:basedOn w:val="a"/>
    <w:uiPriority w:val="34"/>
    <w:qFormat/>
    <w:pPr>
      <w:ind w:left="720"/>
      <w:contextualSpacing/>
    </w:pPr>
  </w:style>
  <w:style w:type="character" w:customStyle="1" w:styleId="Mencinsinresolver1">
    <w:name w:val="Mención sin resolver1"/>
    <w:basedOn w:val="a0"/>
    <w:uiPriority w:val="99"/>
    <w:semiHidden/>
    <w:unhideWhenUsed/>
    <w:qFormat/>
    <w:rPr>
      <w:color w:val="605E5C"/>
      <w:shd w:val="clear" w:color="auto" w:fill="E1DFDD"/>
    </w:rPr>
  </w:style>
  <w:style w:type="paragraph" w:customStyle="1" w:styleId="11">
    <w:name w:val="Рецензия1"/>
    <w:hidden/>
    <w:uiPriority w:val="99"/>
    <w:semiHidden/>
    <w:qFormat/>
    <w:rPr>
      <w:rFonts w:eastAsia="Times New Roman"/>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styleId="ac">
    <w:name w:val="Placeholder Text"/>
    <w:basedOn w:val="a0"/>
    <w:uiPriority w:val="99"/>
    <w:semiHidden/>
    <w:qFormat/>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lizaveta.antonov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00DAF-EB04-48DB-ABDC-33BAA280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2792</Words>
  <Characters>17094</Characters>
  <Application>Microsoft Office Word</Application>
  <DocSecurity>0</DocSecurity>
  <Lines>227</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Elizaveta Antonova</dc:creator>
  <cp:lastModifiedBy>Elizaveta Antonova</cp:lastModifiedBy>
  <cp:revision>24</cp:revision>
  <dcterms:created xsi:type="dcterms:W3CDTF">2026-09-27T16:45:00Z</dcterms:created>
  <dcterms:modified xsi:type="dcterms:W3CDTF">2026-09-28T13:14:00Z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1033-11.1.0.11720</vt:lpwstr>
  </property>
</Properties>
</file>