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06C0E" w14:textId="0C5A1C82" w:rsidR="00CC23C8" w:rsidRDefault="00BA2754" w:rsidP="00CC23C8">
      <w:pPr>
        <w:widowControl w:val="0"/>
        <w:spacing w:after="200"/>
        <w:jc w:val="both"/>
        <w:rPr>
          <w:b/>
          <w:bCs/>
          <w:sz w:val="28"/>
          <w:szCs w:val="28"/>
          <w:lang w:eastAsia="en-US"/>
        </w:rPr>
      </w:pPr>
      <w:r w:rsidRPr="00BA2754">
        <w:rPr>
          <w:b/>
          <w:bCs/>
          <w:sz w:val="28"/>
          <w:szCs w:val="28"/>
          <w:lang w:eastAsia="en-US"/>
        </w:rPr>
        <w:t>О</w:t>
      </w:r>
      <w:r>
        <w:rPr>
          <w:b/>
          <w:bCs/>
          <w:sz w:val="28"/>
          <w:szCs w:val="28"/>
          <w:lang w:eastAsia="en-US"/>
        </w:rPr>
        <w:t xml:space="preserve">СОБЕННОСТИ ЗАЩИТЫ </w:t>
      </w:r>
      <w:r w:rsidR="009C4484">
        <w:rPr>
          <w:b/>
          <w:bCs/>
          <w:sz w:val="28"/>
          <w:szCs w:val="28"/>
          <w:lang w:eastAsia="en-US"/>
        </w:rPr>
        <w:t xml:space="preserve">ВЫСОКОВОЛЬТНЫХ </w:t>
      </w:r>
      <w:r w:rsidR="00C03649">
        <w:rPr>
          <w:b/>
          <w:bCs/>
          <w:sz w:val="28"/>
          <w:szCs w:val="28"/>
          <w:lang w:eastAsia="en-US"/>
        </w:rPr>
        <w:t>СИЛОВ</w:t>
      </w:r>
      <w:r>
        <w:rPr>
          <w:b/>
          <w:bCs/>
          <w:sz w:val="28"/>
          <w:szCs w:val="28"/>
          <w:lang w:eastAsia="en-US"/>
        </w:rPr>
        <w:t>ЫХ</w:t>
      </w:r>
      <w:r w:rsidR="00C03649">
        <w:rPr>
          <w:b/>
          <w:bCs/>
          <w:sz w:val="28"/>
          <w:szCs w:val="28"/>
          <w:lang w:eastAsia="en-US"/>
        </w:rPr>
        <w:t xml:space="preserve"> ТРАНСФОРМАТОР</w:t>
      </w:r>
      <w:r>
        <w:rPr>
          <w:b/>
          <w:bCs/>
          <w:sz w:val="28"/>
          <w:szCs w:val="28"/>
          <w:lang w:eastAsia="en-US"/>
        </w:rPr>
        <w:t>ОВ</w:t>
      </w:r>
      <w:r w:rsidR="0046336F">
        <w:rPr>
          <w:b/>
          <w:bCs/>
          <w:sz w:val="28"/>
          <w:szCs w:val="28"/>
          <w:lang w:eastAsia="en-US"/>
        </w:rPr>
        <w:t xml:space="preserve"> ПРИ ПОВЫШЕННОЙ ГЕОМАГНИТНОЙ АКТИВНОСТИ</w:t>
      </w:r>
    </w:p>
    <w:p w14:paraId="3B668D41" w14:textId="616072EC" w:rsidR="00AB14A5" w:rsidRPr="001D6FA9" w:rsidRDefault="00AB14A5" w:rsidP="00CC23C8">
      <w:pPr>
        <w:widowControl w:val="0"/>
        <w:jc w:val="both"/>
        <w:rPr>
          <w:sz w:val="20"/>
          <w:szCs w:val="20"/>
          <w:lang w:eastAsia="en-US"/>
        </w:rPr>
      </w:pPr>
      <w:r w:rsidRPr="001D6FA9">
        <w:rPr>
          <w:sz w:val="20"/>
          <w:szCs w:val="20"/>
          <w:lang w:eastAsia="en-US"/>
        </w:rPr>
        <w:t xml:space="preserve">Вахнина В.В., </w:t>
      </w:r>
      <w:r w:rsidR="00F36EC7" w:rsidRPr="001D6FA9">
        <w:rPr>
          <w:sz w:val="20"/>
          <w:szCs w:val="20"/>
          <w:lang w:eastAsia="en-US"/>
        </w:rPr>
        <w:t xml:space="preserve">Кувшинов А.А., </w:t>
      </w:r>
      <w:r w:rsidRPr="001D6FA9">
        <w:rPr>
          <w:sz w:val="20"/>
          <w:szCs w:val="20"/>
          <w:lang w:eastAsia="en-US"/>
        </w:rPr>
        <w:t xml:space="preserve">Черненко А.Н., </w:t>
      </w:r>
      <w:proofErr w:type="spellStart"/>
      <w:r w:rsidRPr="001D6FA9">
        <w:rPr>
          <w:sz w:val="20"/>
          <w:szCs w:val="20"/>
          <w:lang w:eastAsia="en-US"/>
        </w:rPr>
        <w:t>Федяй</w:t>
      </w:r>
      <w:proofErr w:type="spellEnd"/>
      <w:r w:rsidRPr="001D6FA9">
        <w:rPr>
          <w:sz w:val="20"/>
          <w:szCs w:val="20"/>
          <w:lang w:eastAsia="en-US"/>
        </w:rPr>
        <w:t xml:space="preserve"> О.В., </w:t>
      </w:r>
      <w:proofErr w:type="spellStart"/>
      <w:r w:rsidRPr="001D6FA9">
        <w:rPr>
          <w:sz w:val="20"/>
          <w:szCs w:val="20"/>
          <w:lang w:eastAsia="en-US"/>
        </w:rPr>
        <w:t>Пудовинников</w:t>
      </w:r>
      <w:proofErr w:type="spellEnd"/>
      <w:r w:rsidRPr="001D6FA9">
        <w:rPr>
          <w:sz w:val="20"/>
          <w:szCs w:val="20"/>
          <w:lang w:eastAsia="en-US"/>
        </w:rPr>
        <w:t xml:space="preserve"> Р.Н.</w:t>
      </w:r>
    </w:p>
    <w:p w14:paraId="6086BF61" w14:textId="77777777" w:rsidR="00CC23C8" w:rsidRPr="001D6FA9" w:rsidRDefault="00CC23C8" w:rsidP="00CC23C8">
      <w:pPr>
        <w:rPr>
          <w:rFonts w:eastAsia="TimesNewRoman,Bold"/>
          <w:i/>
          <w:iCs/>
          <w:color w:val="000000"/>
          <w:sz w:val="20"/>
          <w:szCs w:val="20"/>
          <w:lang w:eastAsia="en-US"/>
        </w:rPr>
      </w:pPr>
    </w:p>
    <w:p w14:paraId="1C06D8C3" w14:textId="0B01C840" w:rsidR="00AB14A5" w:rsidRPr="001D6FA9" w:rsidRDefault="00AB14A5" w:rsidP="00CC23C8">
      <w:pPr>
        <w:rPr>
          <w:rFonts w:eastAsia="TimesNewRoman,Bold"/>
          <w:i/>
          <w:iCs/>
          <w:color w:val="000000"/>
          <w:sz w:val="20"/>
          <w:szCs w:val="20"/>
          <w:lang w:eastAsia="en-US"/>
        </w:rPr>
      </w:pPr>
      <w:r w:rsidRPr="001D6FA9">
        <w:rPr>
          <w:rFonts w:eastAsia="TimesNewRoman,Bold"/>
          <w:i/>
          <w:iCs/>
          <w:color w:val="000000"/>
          <w:sz w:val="20"/>
          <w:szCs w:val="20"/>
          <w:lang w:eastAsia="en-US"/>
        </w:rPr>
        <w:t>Тольяттинский государственный у</w:t>
      </w:r>
      <w:r w:rsidR="00B86B08" w:rsidRPr="001D6FA9">
        <w:rPr>
          <w:rFonts w:eastAsia="TimesNewRoman,Bold"/>
          <w:i/>
          <w:iCs/>
          <w:color w:val="000000"/>
          <w:sz w:val="20"/>
          <w:szCs w:val="20"/>
          <w:lang w:eastAsia="en-US"/>
        </w:rPr>
        <w:t>ниверситет, г. Тольятти, Россия</w:t>
      </w:r>
    </w:p>
    <w:p w14:paraId="633FBBFC" w14:textId="77777777" w:rsidR="00CC23C8" w:rsidRPr="001D6FA9" w:rsidRDefault="00CC23C8" w:rsidP="00CC23C8">
      <w:pPr>
        <w:jc w:val="both"/>
        <w:rPr>
          <w:sz w:val="20"/>
          <w:szCs w:val="20"/>
          <w:lang w:eastAsia="en-US"/>
        </w:rPr>
      </w:pPr>
    </w:p>
    <w:p w14:paraId="6EC1396B" w14:textId="55E48707" w:rsidR="003610FB" w:rsidRPr="001D6FA9" w:rsidRDefault="00D03DC8" w:rsidP="00DB590B">
      <w:pPr>
        <w:jc w:val="both"/>
        <w:rPr>
          <w:bCs/>
          <w:sz w:val="20"/>
          <w:szCs w:val="20"/>
          <w:lang w:eastAsia="en-US"/>
        </w:rPr>
      </w:pPr>
      <w:r w:rsidRPr="001D6FA9">
        <w:rPr>
          <w:b/>
          <w:bCs/>
          <w:sz w:val="20"/>
          <w:szCs w:val="20"/>
          <w:lang w:eastAsia="en-US"/>
        </w:rPr>
        <w:t>Аннотация</w:t>
      </w:r>
      <w:r w:rsidR="003610FB" w:rsidRPr="001D6FA9">
        <w:rPr>
          <w:b/>
          <w:bCs/>
          <w:sz w:val="20"/>
          <w:szCs w:val="20"/>
          <w:lang w:eastAsia="en-US"/>
        </w:rPr>
        <w:t>.</w:t>
      </w:r>
      <w:r w:rsidR="00DB590B" w:rsidRPr="001D6FA9">
        <w:rPr>
          <w:b/>
          <w:bCs/>
          <w:sz w:val="20"/>
          <w:szCs w:val="20"/>
          <w:lang w:eastAsia="en-US"/>
        </w:rPr>
        <w:t xml:space="preserve"> </w:t>
      </w:r>
      <w:r w:rsidR="00DB590B" w:rsidRPr="001D6FA9">
        <w:rPr>
          <w:bCs/>
          <w:sz w:val="20"/>
          <w:szCs w:val="20"/>
          <w:lang w:eastAsia="en-US"/>
        </w:rPr>
        <w:t>Проанализированы возможности использования резистивного и резистивно-</w:t>
      </w:r>
      <w:proofErr w:type="spellStart"/>
      <w:r w:rsidR="00DB590B" w:rsidRPr="001D6FA9">
        <w:rPr>
          <w:bCs/>
          <w:sz w:val="20"/>
          <w:szCs w:val="20"/>
          <w:lang w:eastAsia="en-US"/>
        </w:rPr>
        <w:t>тиристорного</w:t>
      </w:r>
      <w:proofErr w:type="spellEnd"/>
      <w:r w:rsidR="00DB590B" w:rsidRPr="001D6FA9">
        <w:rPr>
          <w:bCs/>
          <w:sz w:val="20"/>
          <w:szCs w:val="20"/>
          <w:lang w:eastAsia="en-US"/>
        </w:rPr>
        <w:t xml:space="preserve"> заземления высоковольтных силовых трансформаторов для ограничения геоиндуцированных токов (ГИТ). Показано, что наиболее эффективным способом </w:t>
      </w:r>
      <w:proofErr w:type="spellStart"/>
      <w:r w:rsidR="00DB590B" w:rsidRPr="001D6FA9">
        <w:rPr>
          <w:bCs/>
          <w:sz w:val="20"/>
          <w:szCs w:val="20"/>
          <w:lang w:eastAsia="en-US"/>
        </w:rPr>
        <w:t>заземленияем</w:t>
      </w:r>
      <w:proofErr w:type="spellEnd"/>
      <w:r w:rsidR="00DB590B" w:rsidRPr="001D6FA9">
        <w:rPr>
          <w:bCs/>
          <w:sz w:val="20"/>
          <w:szCs w:val="20"/>
          <w:lang w:eastAsia="en-US"/>
        </w:rPr>
        <w:t xml:space="preserve"> </w:t>
      </w:r>
      <w:proofErr w:type="spellStart"/>
      <w:r w:rsidR="00DB590B" w:rsidRPr="001D6FA9">
        <w:rPr>
          <w:bCs/>
          <w:sz w:val="20"/>
          <w:szCs w:val="20"/>
          <w:lang w:eastAsia="en-US"/>
        </w:rPr>
        <w:t>нейтрали</w:t>
      </w:r>
      <w:proofErr w:type="spellEnd"/>
      <w:r w:rsidR="00DB590B" w:rsidRPr="001D6FA9">
        <w:rPr>
          <w:bCs/>
          <w:sz w:val="20"/>
          <w:szCs w:val="20"/>
          <w:lang w:eastAsia="en-US"/>
        </w:rPr>
        <w:t xml:space="preserve"> является система резистивно-</w:t>
      </w:r>
      <w:proofErr w:type="spellStart"/>
      <w:r w:rsidR="00DB590B" w:rsidRPr="001D6FA9">
        <w:rPr>
          <w:bCs/>
          <w:sz w:val="20"/>
          <w:szCs w:val="20"/>
          <w:lang w:eastAsia="en-US"/>
        </w:rPr>
        <w:t>тиристорного</w:t>
      </w:r>
      <w:proofErr w:type="spellEnd"/>
      <w:r w:rsidR="00DB590B" w:rsidRPr="001D6FA9">
        <w:rPr>
          <w:bCs/>
          <w:sz w:val="20"/>
          <w:szCs w:val="20"/>
          <w:lang w:eastAsia="en-US"/>
        </w:rPr>
        <w:t xml:space="preserve"> заземления, которая обеспечивает режим </w:t>
      </w:r>
      <w:proofErr w:type="spellStart"/>
      <w:r w:rsidR="00DB590B" w:rsidRPr="001D6FA9">
        <w:rPr>
          <w:bCs/>
          <w:sz w:val="20"/>
          <w:szCs w:val="20"/>
          <w:lang w:eastAsia="en-US"/>
        </w:rPr>
        <w:t>глухозаземленной</w:t>
      </w:r>
      <w:proofErr w:type="spellEnd"/>
      <w:r w:rsidR="00DB590B" w:rsidRPr="001D6FA9">
        <w:rPr>
          <w:bCs/>
          <w:sz w:val="20"/>
          <w:szCs w:val="20"/>
          <w:lang w:eastAsia="en-US"/>
        </w:rPr>
        <w:t xml:space="preserve"> </w:t>
      </w:r>
      <w:proofErr w:type="spellStart"/>
      <w:r w:rsidR="00DB590B" w:rsidRPr="001D6FA9">
        <w:rPr>
          <w:bCs/>
          <w:sz w:val="20"/>
          <w:szCs w:val="20"/>
          <w:lang w:eastAsia="en-US"/>
        </w:rPr>
        <w:t>нейтрали</w:t>
      </w:r>
      <w:proofErr w:type="spellEnd"/>
      <w:r w:rsidR="00DB590B" w:rsidRPr="001D6FA9">
        <w:rPr>
          <w:bCs/>
          <w:sz w:val="20"/>
          <w:szCs w:val="20"/>
          <w:lang w:eastAsia="en-US"/>
        </w:rPr>
        <w:t xml:space="preserve"> при отсутствии ГИТ и режим резистивного заземления нейтрали при появлении ГИТ, вызывающих насыщение магнитной системы силового трансформатора. Автоматическое управление режимом резистивно-</w:t>
      </w:r>
      <w:proofErr w:type="spellStart"/>
      <w:r w:rsidR="00DB590B" w:rsidRPr="001D6FA9">
        <w:rPr>
          <w:bCs/>
          <w:sz w:val="20"/>
          <w:szCs w:val="20"/>
          <w:lang w:eastAsia="en-US"/>
        </w:rPr>
        <w:t>тиристорного</w:t>
      </w:r>
      <w:proofErr w:type="spellEnd"/>
      <w:r w:rsidR="00DB590B" w:rsidRPr="001D6FA9">
        <w:rPr>
          <w:bCs/>
          <w:sz w:val="20"/>
          <w:szCs w:val="20"/>
          <w:lang w:eastAsia="en-US"/>
        </w:rPr>
        <w:t xml:space="preserve"> заземления </w:t>
      </w:r>
      <w:proofErr w:type="spellStart"/>
      <w:r w:rsidR="00DB590B" w:rsidRPr="001D6FA9">
        <w:rPr>
          <w:bCs/>
          <w:sz w:val="20"/>
          <w:szCs w:val="20"/>
          <w:lang w:eastAsia="en-US"/>
        </w:rPr>
        <w:t>нейтрали</w:t>
      </w:r>
      <w:proofErr w:type="spellEnd"/>
      <w:r w:rsidR="00DB590B" w:rsidRPr="001D6FA9">
        <w:rPr>
          <w:bCs/>
          <w:sz w:val="20"/>
          <w:szCs w:val="20"/>
          <w:lang w:eastAsia="en-US"/>
        </w:rPr>
        <w:t xml:space="preserve"> силового трансформатора обеспечивается без участия оперативно-диспетчерского персонала. </w:t>
      </w:r>
    </w:p>
    <w:p w14:paraId="2561F754" w14:textId="77777777" w:rsidR="003610FB" w:rsidRPr="001D6FA9" w:rsidRDefault="003610FB" w:rsidP="00C062BE">
      <w:pPr>
        <w:ind w:firstLine="708"/>
        <w:jc w:val="both"/>
        <w:rPr>
          <w:b/>
          <w:bCs/>
          <w:sz w:val="20"/>
          <w:szCs w:val="20"/>
          <w:lang w:eastAsia="en-US"/>
        </w:rPr>
      </w:pPr>
    </w:p>
    <w:p w14:paraId="74001C42" w14:textId="041E9C61" w:rsidR="00CE3ACF" w:rsidRPr="001D6FA9" w:rsidRDefault="00D6701F" w:rsidP="003610FB">
      <w:pPr>
        <w:jc w:val="both"/>
        <w:rPr>
          <w:b/>
          <w:bCs/>
          <w:sz w:val="20"/>
          <w:szCs w:val="20"/>
          <w:lang w:eastAsia="en-US"/>
        </w:rPr>
      </w:pPr>
      <w:r w:rsidRPr="001D6FA9">
        <w:rPr>
          <w:b/>
          <w:bCs/>
          <w:sz w:val="20"/>
          <w:szCs w:val="20"/>
          <w:lang w:eastAsia="en-US"/>
        </w:rPr>
        <w:t>Введение</w:t>
      </w:r>
    </w:p>
    <w:p w14:paraId="551AC1CA" w14:textId="7C12EE54" w:rsidR="00F61318" w:rsidRPr="001D6FA9" w:rsidRDefault="00C062BE" w:rsidP="003610FB">
      <w:pPr>
        <w:jc w:val="both"/>
        <w:rPr>
          <w:sz w:val="20"/>
          <w:szCs w:val="20"/>
          <w:lang w:eastAsia="en-US"/>
        </w:rPr>
      </w:pPr>
      <w:r w:rsidRPr="003610FB">
        <w:rPr>
          <w:sz w:val="20"/>
          <w:szCs w:val="20"/>
          <w:lang w:eastAsia="en-US"/>
        </w:rPr>
        <w:t xml:space="preserve">Предлагаемые в </w:t>
      </w:r>
      <w:r w:rsidR="009C4484" w:rsidRPr="003610FB">
        <w:rPr>
          <w:sz w:val="20"/>
          <w:szCs w:val="20"/>
          <w:lang w:eastAsia="en-US"/>
        </w:rPr>
        <w:t>мировой практике решения с использованием</w:t>
      </w:r>
      <w:r w:rsidRPr="003610FB">
        <w:rPr>
          <w:sz w:val="20"/>
          <w:szCs w:val="20"/>
          <w:lang w:eastAsia="en-US"/>
        </w:rPr>
        <w:t xml:space="preserve"> блокировочны</w:t>
      </w:r>
      <w:r w:rsidR="009C4484" w:rsidRPr="003610FB">
        <w:rPr>
          <w:sz w:val="20"/>
          <w:szCs w:val="20"/>
          <w:lang w:eastAsia="en-US"/>
        </w:rPr>
        <w:t>х</w:t>
      </w:r>
      <w:r w:rsidRPr="003610FB">
        <w:rPr>
          <w:sz w:val="20"/>
          <w:szCs w:val="20"/>
          <w:lang w:eastAsia="en-US"/>
        </w:rPr>
        <w:t xml:space="preserve"> элемент</w:t>
      </w:r>
      <w:r w:rsidR="009C4484" w:rsidRPr="003610FB">
        <w:rPr>
          <w:sz w:val="20"/>
          <w:szCs w:val="20"/>
          <w:lang w:eastAsia="en-US"/>
        </w:rPr>
        <w:t>ов</w:t>
      </w:r>
      <w:r w:rsidRPr="003610FB">
        <w:rPr>
          <w:sz w:val="20"/>
          <w:szCs w:val="20"/>
          <w:lang w:eastAsia="en-US"/>
        </w:rPr>
        <w:t xml:space="preserve"> </w:t>
      </w:r>
      <w:r w:rsidR="009C4484" w:rsidRPr="003610FB">
        <w:rPr>
          <w:sz w:val="20"/>
          <w:szCs w:val="20"/>
          <w:lang w:eastAsia="en-US"/>
        </w:rPr>
        <w:t xml:space="preserve">за счет принудительного </w:t>
      </w:r>
      <w:proofErr w:type="spellStart"/>
      <w:r w:rsidR="009C4484" w:rsidRPr="003610FB">
        <w:rPr>
          <w:sz w:val="20"/>
          <w:szCs w:val="20"/>
          <w:lang w:eastAsia="en-US"/>
        </w:rPr>
        <w:t>разземления</w:t>
      </w:r>
      <w:proofErr w:type="spellEnd"/>
      <w:r w:rsidR="009C4484" w:rsidRPr="003610FB">
        <w:rPr>
          <w:sz w:val="20"/>
          <w:szCs w:val="20"/>
          <w:lang w:eastAsia="en-US"/>
        </w:rPr>
        <w:t xml:space="preserve"> </w:t>
      </w:r>
      <w:proofErr w:type="spellStart"/>
      <w:r w:rsidR="009C4484" w:rsidRPr="003610FB">
        <w:rPr>
          <w:sz w:val="20"/>
          <w:szCs w:val="20"/>
          <w:lang w:eastAsia="en-US"/>
        </w:rPr>
        <w:t>нейтралей</w:t>
      </w:r>
      <w:proofErr w:type="spellEnd"/>
      <w:r w:rsidR="009C4484" w:rsidRPr="003610FB">
        <w:rPr>
          <w:sz w:val="20"/>
          <w:szCs w:val="20"/>
          <w:lang w:eastAsia="en-US"/>
        </w:rPr>
        <w:t xml:space="preserve"> силовых трансформаторов (например, емкостное заземление </w:t>
      </w:r>
      <w:proofErr w:type="spellStart"/>
      <w:r w:rsidR="009C4484" w:rsidRPr="003610FB">
        <w:rPr>
          <w:sz w:val="20"/>
          <w:szCs w:val="20"/>
          <w:lang w:eastAsia="en-US"/>
        </w:rPr>
        <w:t>нейтрали</w:t>
      </w:r>
      <w:proofErr w:type="spellEnd"/>
      <w:r w:rsidR="009C4484" w:rsidRPr="003610FB">
        <w:rPr>
          <w:sz w:val="20"/>
          <w:szCs w:val="20"/>
          <w:lang w:eastAsia="en-US"/>
        </w:rPr>
        <w:t xml:space="preserve">, </w:t>
      </w:r>
      <w:proofErr w:type="spellStart"/>
      <w:r w:rsidR="009C4484" w:rsidRPr="003610FB">
        <w:rPr>
          <w:sz w:val="20"/>
          <w:szCs w:val="20"/>
          <w:lang w:eastAsia="en-US"/>
        </w:rPr>
        <w:t>тиристорная</w:t>
      </w:r>
      <w:proofErr w:type="spellEnd"/>
      <w:r w:rsidR="009C4484" w:rsidRPr="003610FB">
        <w:rPr>
          <w:sz w:val="20"/>
          <w:szCs w:val="20"/>
          <w:lang w:eastAsia="en-US"/>
        </w:rPr>
        <w:t xml:space="preserve"> система защиты)</w:t>
      </w:r>
      <w:r w:rsidRPr="003610FB">
        <w:rPr>
          <w:sz w:val="20"/>
          <w:szCs w:val="20"/>
          <w:lang w:eastAsia="en-US"/>
        </w:rPr>
        <w:t xml:space="preserve"> </w:t>
      </w:r>
      <w:r w:rsidR="009C4484" w:rsidRPr="003610FB">
        <w:rPr>
          <w:sz w:val="20"/>
          <w:szCs w:val="20"/>
          <w:lang w:eastAsia="en-US"/>
        </w:rPr>
        <w:t xml:space="preserve">при повышенной геомагнитной активности </w:t>
      </w:r>
      <w:r w:rsidRPr="003610FB">
        <w:rPr>
          <w:sz w:val="20"/>
          <w:szCs w:val="20"/>
          <w:lang w:eastAsia="en-US"/>
        </w:rPr>
        <w:t xml:space="preserve">не позволяют эффективно защитить высоковольтную электрическую сеть от </w:t>
      </w:r>
      <w:r w:rsidR="009C4484" w:rsidRPr="003610FB">
        <w:rPr>
          <w:sz w:val="20"/>
          <w:szCs w:val="20"/>
          <w:lang w:eastAsia="en-US"/>
        </w:rPr>
        <w:t>геоиндуцированных токов</w:t>
      </w:r>
      <w:r w:rsidR="001D313F" w:rsidRPr="003610FB">
        <w:rPr>
          <w:sz w:val="20"/>
          <w:szCs w:val="20"/>
          <w:lang w:eastAsia="en-US"/>
        </w:rPr>
        <w:t xml:space="preserve"> (ГИТ)</w:t>
      </w:r>
      <w:r w:rsidRPr="003610FB">
        <w:rPr>
          <w:sz w:val="20"/>
          <w:szCs w:val="20"/>
          <w:lang w:eastAsia="en-US"/>
        </w:rPr>
        <w:t xml:space="preserve">, т.к. могут привести либо к резонансным явлениям, либо к перенапряжениям при несимметричных коротких замыканиях. Также </w:t>
      </w:r>
      <w:r w:rsidR="009C4484" w:rsidRPr="003610FB">
        <w:rPr>
          <w:sz w:val="20"/>
          <w:szCs w:val="20"/>
          <w:lang w:eastAsia="en-US"/>
        </w:rPr>
        <w:t xml:space="preserve">при </w:t>
      </w:r>
      <w:proofErr w:type="spellStart"/>
      <w:r w:rsidR="009C4484" w:rsidRPr="003610FB">
        <w:rPr>
          <w:sz w:val="20"/>
          <w:szCs w:val="20"/>
          <w:lang w:eastAsia="en-US"/>
        </w:rPr>
        <w:t>раззаземлении</w:t>
      </w:r>
      <w:proofErr w:type="spellEnd"/>
      <w:r w:rsidRPr="003610FB">
        <w:rPr>
          <w:sz w:val="20"/>
          <w:szCs w:val="20"/>
          <w:lang w:eastAsia="en-US"/>
        </w:rPr>
        <w:t xml:space="preserve"> </w:t>
      </w:r>
      <w:proofErr w:type="spellStart"/>
      <w:r w:rsidRPr="003610FB">
        <w:rPr>
          <w:sz w:val="20"/>
          <w:szCs w:val="20"/>
          <w:lang w:eastAsia="en-US"/>
        </w:rPr>
        <w:t>нейтралей</w:t>
      </w:r>
      <w:proofErr w:type="spellEnd"/>
      <w:r w:rsidRPr="003610FB">
        <w:rPr>
          <w:sz w:val="20"/>
          <w:szCs w:val="20"/>
          <w:lang w:eastAsia="en-US"/>
        </w:rPr>
        <w:t xml:space="preserve"> высоковольтных трансформаторов требуется дорогостоящее специальное коммутационное оборудование. </w:t>
      </w:r>
      <w:r w:rsidR="00AC1C52" w:rsidRPr="003610FB">
        <w:rPr>
          <w:sz w:val="20"/>
          <w:szCs w:val="20"/>
          <w:lang w:eastAsia="en-US"/>
        </w:rPr>
        <w:t xml:space="preserve">Как показано в </w:t>
      </w:r>
      <w:r w:rsidR="00AC1C52" w:rsidRPr="003610FB">
        <w:rPr>
          <w:sz w:val="20"/>
          <w:szCs w:val="20"/>
        </w:rPr>
        <w:t xml:space="preserve">[1] достаточно эффективным средством защиты силовых трансформаторов является включение в нейтраль обмоток высокого напряжения (ВН) мощного высоковольтного резистора. </w:t>
      </w:r>
      <w:r w:rsidR="00CE3ACF" w:rsidRPr="003610FB">
        <w:rPr>
          <w:sz w:val="20"/>
          <w:szCs w:val="20"/>
          <w:lang w:eastAsia="en-US"/>
        </w:rPr>
        <w:t xml:space="preserve">В данной работе проанализирована возможность использования </w:t>
      </w:r>
      <w:r w:rsidR="000C6BBC" w:rsidRPr="001D6FA9">
        <w:rPr>
          <w:sz w:val="20"/>
          <w:szCs w:val="20"/>
          <w:lang w:eastAsia="en-US"/>
        </w:rPr>
        <w:t xml:space="preserve">резистивного и </w:t>
      </w:r>
      <w:r w:rsidR="00CE3ACF" w:rsidRPr="001D6FA9">
        <w:rPr>
          <w:sz w:val="20"/>
          <w:szCs w:val="20"/>
          <w:lang w:eastAsia="en-US"/>
        </w:rPr>
        <w:t>резистивно-</w:t>
      </w:r>
      <w:proofErr w:type="spellStart"/>
      <w:r w:rsidR="00CE3ACF" w:rsidRPr="001D6FA9">
        <w:rPr>
          <w:sz w:val="20"/>
          <w:szCs w:val="20"/>
          <w:lang w:eastAsia="en-US"/>
        </w:rPr>
        <w:t>тиристорного</w:t>
      </w:r>
      <w:proofErr w:type="spellEnd"/>
      <w:r w:rsidR="00CE3ACF" w:rsidRPr="001D6FA9">
        <w:rPr>
          <w:sz w:val="20"/>
          <w:szCs w:val="20"/>
          <w:lang w:eastAsia="en-US"/>
        </w:rPr>
        <w:t xml:space="preserve"> заземления силовых трансформаторов для ограничения ГИТ</w:t>
      </w:r>
      <w:r w:rsidR="005E3042" w:rsidRPr="001D6FA9">
        <w:rPr>
          <w:sz w:val="20"/>
          <w:szCs w:val="20"/>
          <w:lang w:eastAsia="en-US"/>
        </w:rPr>
        <w:t xml:space="preserve"> до уровня, не вызывающего насыщение</w:t>
      </w:r>
      <w:r w:rsidR="003F115A" w:rsidRPr="001D6FA9">
        <w:rPr>
          <w:sz w:val="20"/>
          <w:szCs w:val="20"/>
          <w:lang w:eastAsia="en-US"/>
        </w:rPr>
        <w:t xml:space="preserve"> их магнитной системы</w:t>
      </w:r>
      <w:r w:rsidR="00CE3ACF" w:rsidRPr="001D6FA9">
        <w:rPr>
          <w:sz w:val="20"/>
          <w:szCs w:val="20"/>
          <w:lang w:eastAsia="en-US"/>
        </w:rPr>
        <w:t>.</w:t>
      </w:r>
    </w:p>
    <w:p w14:paraId="726326D6" w14:textId="77777777" w:rsidR="000C6BBC" w:rsidRPr="001D6FA9" w:rsidRDefault="000C6BBC" w:rsidP="003610FB">
      <w:pPr>
        <w:jc w:val="both"/>
        <w:rPr>
          <w:b/>
          <w:sz w:val="20"/>
          <w:szCs w:val="20"/>
          <w:lang w:eastAsia="en-US"/>
        </w:rPr>
      </w:pPr>
    </w:p>
    <w:p w14:paraId="7602B9B1" w14:textId="77777777" w:rsidR="00A511D9" w:rsidRPr="001D6FA9" w:rsidRDefault="000C6BBC" w:rsidP="000C6BBC">
      <w:pPr>
        <w:jc w:val="both"/>
        <w:rPr>
          <w:b/>
          <w:sz w:val="20"/>
          <w:szCs w:val="20"/>
        </w:rPr>
      </w:pPr>
      <w:r w:rsidRPr="001D6FA9">
        <w:rPr>
          <w:b/>
          <w:sz w:val="20"/>
          <w:szCs w:val="20"/>
        </w:rPr>
        <w:t>Анализ режима резистивного заземление нейтрали силового трансформатора</w:t>
      </w:r>
    </w:p>
    <w:p w14:paraId="7539D6A0" w14:textId="619AA6D2" w:rsidR="000C6BBC" w:rsidRPr="003610FB" w:rsidRDefault="000C6BBC" w:rsidP="000C6BBC">
      <w:pPr>
        <w:jc w:val="both"/>
        <w:rPr>
          <w:b/>
          <w:sz w:val="20"/>
          <w:szCs w:val="20"/>
        </w:rPr>
      </w:pPr>
      <w:r w:rsidRPr="003610FB">
        <w:rPr>
          <w:sz w:val="20"/>
          <w:szCs w:val="20"/>
        </w:rPr>
        <w:t xml:space="preserve">Показателем эффективности резистивного заземления нейтрали </w:t>
      </w:r>
      <w:r w:rsidR="00A511D9">
        <w:rPr>
          <w:sz w:val="20"/>
          <w:szCs w:val="20"/>
        </w:rPr>
        <w:t xml:space="preserve">силовых трансформаторов </w:t>
      </w:r>
      <w:r w:rsidRPr="003610FB">
        <w:rPr>
          <w:sz w:val="20"/>
          <w:szCs w:val="20"/>
        </w:rPr>
        <w:t xml:space="preserve">в части ограничения ГИТ является отношение </w:t>
      </w:r>
    </w:p>
    <w:p w14:paraId="46EBBCBF" w14:textId="694873B1" w:rsidR="000C6BBC" w:rsidRPr="003610FB" w:rsidRDefault="007C506D" w:rsidP="000C6BBC">
      <w:pPr>
        <w:ind w:left="2124" w:firstLine="720"/>
        <w:jc w:val="right"/>
        <w:rPr>
          <w:sz w:val="20"/>
          <w:szCs w:val="20"/>
        </w:rPr>
      </w:pPr>
      <m:oMath>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ГИТ(R)</m:t>
                </m:r>
              </m:sub>
            </m:sSub>
          </m:num>
          <m:den>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ГИТ(⊥)</m:t>
                </m:r>
              </m:sub>
            </m:sSub>
          </m:den>
        </m:f>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r</m:t>
                </m:r>
              </m:e>
              <m:sub>
                <m:r>
                  <m:rPr>
                    <m:sty m:val="p"/>
                  </m:rPr>
                  <w:rPr>
                    <w:rFonts w:ascii="Cambria Math" w:hAnsi="Cambria Math"/>
                    <w:sz w:val="20"/>
                    <w:szCs w:val="20"/>
                  </w:rPr>
                  <m:t>Σ</m:t>
                </m:r>
              </m:sub>
            </m:sSub>
          </m:num>
          <m:den>
            <m:sSub>
              <m:sSubPr>
                <m:ctrlPr>
                  <w:rPr>
                    <w:rFonts w:ascii="Cambria Math" w:hAnsi="Cambria Math"/>
                    <w:i/>
                    <w:sz w:val="20"/>
                    <w:szCs w:val="20"/>
                  </w:rPr>
                </m:ctrlPr>
              </m:sSubPr>
              <m:e>
                <m:r>
                  <w:rPr>
                    <w:rFonts w:ascii="Cambria Math" w:hAnsi="Cambria Math"/>
                    <w:sz w:val="20"/>
                    <w:szCs w:val="20"/>
                  </w:rPr>
                  <m:t>r</m:t>
                </m:r>
              </m:e>
              <m:sub>
                <m:r>
                  <m:rPr>
                    <m:sty m:val="p"/>
                  </m:rPr>
                  <w:rPr>
                    <w:rFonts w:ascii="Cambria Math" w:hAnsi="Cambria Math"/>
                    <w:sz w:val="20"/>
                    <w:szCs w:val="20"/>
                  </w:rPr>
                  <m:t>Σ</m:t>
                </m:r>
              </m:sub>
            </m:sSub>
            <m:r>
              <w:rPr>
                <w:rFonts w:ascii="Cambria Math" w:hAnsi="Cambria Math"/>
                <w:sz w:val="20"/>
                <w:szCs w:val="20"/>
              </w:rPr>
              <m:t>+R</m:t>
            </m:r>
          </m:den>
        </m:f>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rPr>
                  <m:t>R</m:t>
                </m:r>
              </m:e>
              <m:sup>
                <m:r>
                  <w:rPr>
                    <w:rFonts w:ascii="Cambria Math" w:hAnsi="Cambria Math"/>
                    <w:sz w:val="20"/>
                    <w:szCs w:val="20"/>
                  </w:rPr>
                  <m:t>*</m:t>
                </m:r>
              </m:sup>
            </m:sSup>
          </m:den>
        </m:f>
        <m:r>
          <w:rPr>
            <w:rFonts w:ascii="Cambria Math" w:hAnsi="Cambria Math"/>
            <w:sz w:val="20"/>
            <w:szCs w:val="20"/>
          </w:rPr>
          <m:t>,</m:t>
        </m:r>
      </m:oMath>
      <w:r w:rsidR="000C6BBC" w:rsidRPr="003610FB">
        <w:rPr>
          <w:sz w:val="20"/>
          <w:szCs w:val="20"/>
        </w:rPr>
        <w:tab/>
      </w:r>
      <w:r w:rsidR="000C6BBC" w:rsidRPr="003610FB">
        <w:rPr>
          <w:sz w:val="20"/>
          <w:szCs w:val="20"/>
        </w:rPr>
        <w:tab/>
      </w:r>
      <w:r w:rsidR="000C6BBC" w:rsidRPr="003610FB">
        <w:rPr>
          <w:sz w:val="20"/>
          <w:szCs w:val="20"/>
        </w:rPr>
        <w:tab/>
      </w:r>
      <w:r w:rsidR="000C6BBC" w:rsidRPr="003610FB">
        <w:rPr>
          <w:sz w:val="20"/>
          <w:szCs w:val="20"/>
        </w:rPr>
        <w:tab/>
      </w:r>
      <w:r w:rsidR="000C6BBC" w:rsidRPr="003610FB">
        <w:rPr>
          <w:sz w:val="20"/>
          <w:szCs w:val="20"/>
        </w:rPr>
        <w:tab/>
        <w:t>(1)</w:t>
      </w:r>
    </w:p>
    <w:p w14:paraId="5CB4D8B5" w14:textId="77777777" w:rsidR="000C6BBC" w:rsidRPr="003610FB" w:rsidRDefault="000C6BBC" w:rsidP="000C6BBC">
      <w:pPr>
        <w:jc w:val="both"/>
        <w:rPr>
          <w:sz w:val="20"/>
          <w:szCs w:val="20"/>
        </w:rPr>
      </w:pPr>
      <w:r w:rsidRPr="003610FB">
        <w:rPr>
          <w:sz w:val="20"/>
          <w:szCs w:val="20"/>
        </w:rPr>
        <w:t xml:space="preserve">где </w:t>
      </w:r>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ГИТ(R)</m:t>
            </m:r>
          </m:sub>
        </m:sSub>
      </m:oMath>
      <w:r w:rsidRPr="003610FB">
        <w:rPr>
          <w:sz w:val="20"/>
          <w:szCs w:val="20"/>
        </w:rPr>
        <w:t xml:space="preserve"> </w:t>
      </w:r>
      <w:r>
        <w:rPr>
          <w:sz w:val="20"/>
          <w:szCs w:val="20"/>
        </w:rPr>
        <w:t>–</w:t>
      </w:r>
      <w:r w:rsidRPr="003610FB">
        <w:rPr>
          <w:sz w:val="20"/>
          <w:szCs w:val="20"/>
        </w:rPr>
        <w:t xml:space="preserve"> величина ГИТ при резистивном заземлении нейтрали силового трансформатора; </w:t>
      </w:r>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ГИТ(⊥)</m:t>
            </m:r>
          </m:sub>
        </m:sSub>
      </m:oMath>
      <w:r w:rsidRPr="003610FB">
        <w:rPr>
          <w:sz w:val="20"/>
          <w:szCs w:val="20"/>
        </w:rPr>
        <w:t xml:space="preserve"> </w:t>
      </w:r>
      <w:r>
        <w:rPr>
          <w:sz w:val="20"/>
          <w:szCs w:val="20"/>
        </w:rPr>
        <w:t>–</w:t>
      </w:r>
      <w:r w:rsidRPr="003610FB">
        <w:rPr>
          <w:sz w:val="20"/>
          <w:szCs w:val="20"/>
        </w:rPr>
        <w:t xml:space="preserve"> величина ГИТ при </w:t>
      </w:r>
      <w:proofErr w:type="spellStart"/>
      <w:r w:rsidRPr="003610FB">
        <w:rPr>
          <w:sz w:val="20"/>
          <w:szCs w:val="20"/>
        </w:rPr>
        <w:t>глухозаземленной</w:t>
      </w:r>
      <w:proofErr w:type="spellEnd"/>
      <w:r w:rsidRPr="003610FB">
        <w:rPr>
          <w:sz w:val="20"/>
          <w:szCs w:val="20"/>
        </w:rPr>
        <w:t xml:space="preserve"> </w:t>
      </w:r>
      <w:proofErr w:type="spellStart"/>
      <w:r w:rsidRPr="003610FB">
        <w:rPr>
          <w:sz w:val="20"/>
          <w:szCs w:val="20"/>
        </w:rPr>
        <w:t>нейтрали</w:t>
      </w:r>
      <w:proofErr w:type="spellEnd"/>
      <w:r w:rsidRPr="003610FB">
        <w:rPr>
          <w:sz w:val="20"/>
          <w:szCs w:val="20"/>
        </w:rPr>
        <w:t xml:space="preserve"> силового трансформатора; </w:t>
      </w:r>
      <w:r w:rsidRPr="003610FB">
        <w:rPr>
          <w:sz w:val="20"/>
          <w:szCs w:val="20"/>
          <w:lang w:val="en-US"/>
        </w:rPr>
        <w:t>R</w:t>
      </w:r>
      <w:r w:rsidRPr="003610FB">
        <w:rPr>
          <w:sz w:val="20"/>
          <w:szCs w:val="20"/>
        </w:rPr>
        <w:t xml:space="preserve"> </w:t>
      </w:r>
      <w:r>
        <w:rPr>
          <w:sz w:val="20"/>
          <w:szCs w:val="20"/>
        </w:rPr>
        <w:t>–</w:t>
      </w:r>
      <w:r w:rsidRPr="003610FB">
        <w:rPr>
          <w:sz w:val="20"/>
          <w:szCs w:val="20"/>
        </w:rPr>
        <w:t xml:space="preserve"> сопротивление заземляющего резистора; </w:t>
      </w:r>
      <m:oMath>
        <m:sSub>
          <m:sSubPr>
            <m:ctrlPr>
              <w:rPr>
                <w:rFonts w:ascii="Cambria Math" w:hAnsi="Cambria Math"/>
                <w:i/>
                <w:sz w:val="20"/>
                <w:szCs w:val="20"/>
              </w:rPr>
            </m:ctrlPr>
          </m:sSubPr>
          <m:e>
            <m:r>
              <w:rPr>
                <w:rFonts w:ascii="Cambria Math" w:hAnsi="Cambria Math"/>
                <w:sz w:val="20"/>
                <w:szCs w:val="20"/>
              </w:rPr>
              <m:t>r</m:t>
            </m:r>
          </m:e>
          <m:sub>
            <m:r>
              <m:rPr>
                <m:sty m:val="p"/>
              </m:rPr>
              <w:rPr>
                <w:rFonts w:ascii="Cambria Math" w:hAnsi="Cambria Math"/>
                <w:sz w:val="20"/>
                <w:szCs w:val="20"/>
              </w:rPr>
              <m:t>Σ</m:t>
            </m:r>
          </m:sub>
        </m:sSub>
      </m:oMath>
      <w:r w:rsidRPr="003610FB">
        <w:rPr>
          <w:sz w:val="20"/>
          <w:szCs w:val="20"/>
        </w:rPr>
        <w:t xml:space="preserve"> </w:t>
      </w:r>
      <w:r>
        <w:rPr>
          <w:sz w:val="20"/>
          <w:szCs w:val="20"/>
        </w:rPr>
        <w:t>–</w:t>
      </w:r>
      <w:r w:rsidRPr="003610FB">
        <w:rPr>
          <w:sz w:val="20"/>
          <w:szCs w:val="20"/>
        </w:rPr>
        <w:t xml:space="preserve"> суммарное активное сопротивление обмоток высокого напряжения силового трансформатора, фазных проводов примыкающих ЛЭП, заземляющего устройства; </w:t>
      </w:r>
      <m:oMath>
        <m:sSup>
          <m:sSupPr>
            <m:ctrlPr>
              <w:rPr>
                <w:rFonts w:ascii="Cambria Math" w:hAnsi="Cambria Math"/>
                <w:i/>
                <w:sz w:val="20"/>
                <w:szCs w:val="20"/>
              </w:rPr>
            </m:ctrlPr>
          </m:sSupPr>
          <m:e>
            <m:r>
              <w:rPr>
                <w:rFonts w:ascii="Cambria Math" w:hAnsi="Cambria Math"/>
                <w:sz w:val="20"/>
                <w:szCs w:val="20"/>
              </w:rPr>
              <m:t>R</m:t>
            </m:r>
          </m:e>
          <m:sup>
            <m:r>
              <w:rPr>
                <w:rFonts w:ascii="Cambria Math" w:hAnsi="Cambria Math"/>
                <w:sz w:val="20"/>
                <w:szCs w:val="20"/>
              </w:rPr>
              <m:t>*</m:t>
            </m:r>
          </m:sup>
        </m:sSup>
        <m:r>
          <w:rPr>
            <w:rFonts w:ascii="Cambria Math" w:hAnsi="Cambria Math"/>
            <w:sz w:val="20"/>
            <w:szCs w:val="20"/>
          </w:rPr>
          <m:t>=</m:t>
        </m:r>
        <m:f>
          <m:fPr>
            <m:type m:val="lin"/>
            <m:ctrlPr>
              <w:rPr>
                <w:rFonts w:ascii="Cambria Math" w:hAnsi="Cambria Math"/>
                <w:i/>
                <w:sz w:val="20"/>
                <w:szCs w:val="20"/>
              </w:rPr>
            </m:ctrlPr>
          </m:fPr>
          <m:num>
            <m:r>
              <w:rPr>
                <w:rFonts w:ascii="Cambria Math" w:hAnsi="Cambria Math"/>
                <w:sz w:val="20"/>
                <w:szCs w:val="20"/>
              </w:rPr>
              <m:t>R</m:t>
            </m:r>
          </m:num>
          <m:den>
            <m:sSub>
              <m:sSubPr>
                <m:ctrlPr>
                  <w:rPr>
                    <w:rFonts w:ascii="Cambria Math" w:hAnsi="Cambria Math"/>
                    <w:i/>
                    <w:sz w:val="20"/>
                    <w:szCs w:val="20"/>
                  </w:rPr>
                </m:ctrlPr>
              </m:sSubPr>
              <m:e>
                <m:r>
                  <w:rPr>
                    <w:rFonts w:ascii="Cambria Math" w:hAnsi="Cambria Math"/>
                    <w:sz w:val="20"/>
                    <w:szCs w:val="20"/>
                  </w:rPr>
                  <m:t>r</m:t>
                </m:r>
              </m:e>
              <m:sub>
                <m:r>
                  <m:rPr>
                    <m:sty m:val="p"/>
                  </m:rPr>
                  <w:rPr>
                    <w:rFonts w:ascii="Cambria Math" w:hAnsi="Cambria Math"/>
                    <w:sz w:val="20"/>
                    <w:szCs w:val="20"/>
                  </w:rPr>
                  <m:t>Σ</m:t>
                </m:r>
              </m:sub>
            </m:sSub>
          </m:den>
        </m:f>
      </m:oMath>
      <w:r w:rsidRPr="003610FB">
        <w:rPr>
          <w:sz w:val="20"/>
          <w:szCs w:val="20"/>
        </w:rPr>
        <w:t xml:space="preserve"> </w:t>
      </w:r>
      <w:r>
        <w:rPr>
          <w:sz w:val="20"/>
          <w:szCs w:val="20"/>
        </w:rPr>
        <w:t>–</w:t>
      </w:r>
      <w:r w:rsidRPr="003610FB">
        <w:rPr>
          <w:sz w:val="20"/>
          <w:szCs w:val="20"/>
        </w:rPr>
        <w:t xml:space="preserve"> относительная величина сопротивления заземляющего резистора.</w:t>
      </w:r>
    </w:p>
    <w:p w14:paraId="20EA721F" w14:textId="77777777" w:rsidR="000C6BBC" w:rsidRPr="003610FB" w:rsidRDefault="000C6BBC" w:rsidP="000C6BBC">
      <w:pPr>
        <w:jc w:val="both"/>
        <w:rPr>
          <w:sz w:val="20"/>
          <w:szCs w:val="20"/>
        </w:rPr>
      </w:pPr>
      <w:r w:rsidRPr="003610FB">
        <w:rPr>
          <w:sz w:val="20"/>
          <w:szCs w:val="20"/>
        </w:rPr>
        <w:t xml:space="preserve">По данным [1], рекомендуемый диапазон сопротивлений заземляющего резистора должен составлять (2,5÷7,5) Ом для снижения уровня ГИТ на (55÷70) % соответственно. В общем случае, как следует из (1), уже при </w:t>
      </w:r>
      <m:oMath>
        <m:sSup>
          <m:sSupPr>
            <m:ctrlPr>
              <w:rPr>
                <w:rFonts w:ascii="Cambria Math" w:hAnsi="Cambria Math"/>
                <w:i/>
                <w:sz w:val="20"/>
                <w:szCs w:val="20"/>
              </w:rPr>
            </m:ctrlPr>
          </m:sSupPr>
          <m:e>
            <m:r>
              <w:rPr>
                <w:rFonts w:ascii="Cambria Math" w:hAnsi="Cambria Math"/>
                <w:sz w:val="20"/>
                <w:szCs w:val="20"/>
              </w:rPr>
              <m:t>R</m:t>
            </m:r>
          </m:e>
          <m:sup>
            <m:r>
              <w:rPr>
                <w:rFonts w:ascii="Cambria Math" w:hAnsi="Cambria Math"/>
                <w:sz w:val="20"/>
                <w:szCs w:val="20"/>
              </w:rPr>
              <m:t>*</m:t>
            </m:r>
          </m:sup>
        </m:sSup>
        <m:r>
          <w:rPr>
            <w:rFonts w:ascii="Cambria Math" w:hAnsi="Cambria Math"/>
            <w:sz w:val="20"/>
            <w:szCs w:val="20"/>
          </w:rPr>
          <m:t>≥(3÷4)</m:t>
        </m:r>
      </m:oMath>
      <w:r w:rsidRPr="003610FB">
        <w:rPr>
          <w:sz w:val="20"/>
          <w:szCs w:val="20"/>
        </w:rPr>
        <w:t xml:space="preserve"> достигается вполне приемлемый эффект ограничения ГИТ с помощью резистивного заземления нейтрали – более 80%. </w:t>
      </w:r>
    </w:p>
    <w:p w14:paraId="5D28C4FC" w14:textId="77777777" w:rsidR="000C6BBC" w:rsidRPr="003610FB" w:rsidRDefault="000C6BBC" w:rsidP="000C6BBC">
      <w:pPr>
        <w:jc w:val="both"/>
        <w:rPr>
          <w:b/>
          <w:sz w:val="20"/>
          <w:szCs w:val="20"/>
        </w:rPr>
      </w:pPr>
      <w:r w:rsidRPr="003610FB">
        <w:rPr>
          <w:sz w:val="20"/>
          <w:szCs w:val="20"/>
        </w:rPr>
        <w:t xml:space="preserve">Включение резистора (5÷10) Ом в нейтраль силовых трансформаторов практикуют для ограничения токов однофазных коротких замыканий (КЗ) [2]. Допускается даже частичное </w:t>
      </w:r>
      <w:proofErr w:type="spellStart"/>
      <w:r w:rsidRPr="003610FB">
        <w:rPr>
          <w:sz w:val="20"/>
          <w:szCs w:val="20"/>
        </w:rPr>
        <w:t>разземление</w:t>
      </w:r>
      <w:proofErr w:type="spellEnd"/>
      <w:r w:rsidRPr="003610FB">
        <w:rPr>
          <w:sz w:val="20"/>
          <w:szCs w:val="20"/>
        </w:rPr>
        <w:t xml:space="preserve"> </w:t>
      </w:r>
      <w:proofErr w:type="spellStart"/>
      <w:r w:rsidRPr="003610FB">
        <w:rPr>
          <w:sz w:val="20"/>
          <w:szCs w:val="20"/>
        </w:rPr>
        <w:t>нейтралей</w:t>
      </w:r>
      <w:proofErr w:type="spellEnd"/>
      <w:r w:rsidRPr="003610FB">
        <w:rPr>
          <w:sz w:val="20"/>
          <w:szCs w:val="20"/>
        </w:rPr>
        <w:t xml:space="preserve"> силовых трансформаторов напряжением 110</w:t>
      </w:r>
      <w:r>
        <w:rPr>
          <w:sz w:val="20"/>
          <w:szCs w:val="20"/>
        </w:rPr>
        <w:t xml:space="preserve"> </w:t>
      </w:r>
      <w:r w:rsidRPr="003610FB">
        <w:rPr>
          <w:sz w:val="20"/>
          <w:szCs w:val="20"/>
        </w:rPr>
        <w:t xml:space="preserve">кВ и 220 кВ, но с обязательным требованием защиты </w:t>
      </w:r>
      <w:proofErr w:type="spellStart"/>
      <w:r w:rsidRPr="003610FB">
        <w:rPr>
          <w:sz w:val="20"/>
          <w:szCs w:val="20"/>
        </w:rPr>
        <w:t>разземленной</w:t>
      </w:r>
      <w:proofErr w:type="spellEnd"/>
      <w:r w:rsidRPr="003610FB">
        <w:rPr>
          <w:sz w:val="20"/>
          <w:szCs w:val="20"/>
        </w:rPr>
        <w:t xml:space="preserve"> </w:t>
      </w:r>
      <w:proofErr w:type="spellStart"/>
      <w:r w:rsidRPr="003610FB">
        <w:rPr>
          <w:sz w:val="20"/>
          <w:szCs w:val="20"/>
        </w:rPr>
        <w:t>нейтрали</w:t>
      </w:r>
      <w:proofErr w:type="spellEnd"/>
      <w:r w:rsidRPr="003610FB">
        <w:rPr>
          <w:sz w:val="20"/>
          <w:szCs w:val="20"/>
        </w:rPr>
        <w:t xml:space="preserve"> ограничителем перенапряжения с допустимым рабочим напряжением частоты 50 Гц не более 0,6 фазного напряжения [3]. В любом случае не должно нарушаться условие эффективности заземления нейтрали, которое определяется величиной коэффициента заземления</w:t>
      </w:r>
    </w:p>
    <w:p w14:paraId="0019DA75" w14:textId="30AA8CE8" w:rsidR="000C6BBC" w:rsidRPr="003610FB" w:rsidRDefault="007C506D" w:rsidP="000C6BBC">
      <w:pPr>
        <w:ind w:left="2831" w:firstLine="709"/>
        <w:jc w:val="right"/>
        <w:rPr>
          <w:sz w:val="20"/>
          <w:szCs w:val="20"/>
        </w:rPr>
      </w:pPr>
      <m:oMath>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з</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ф.з.</m:t>
                </m:r>
              </m:sub>
            </m:sSub>
          </m:num>
          <m:den>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ном</m:t>
                </m:r>
              </m:sub>
            </m:sSub>
          </m:den>
        </m:f>
        <m:r>
          <w:rPr>
            <w:rFonts w:ascii="Cambria Math" w:hAnsi="Cambria Math"/>
            <w:sz w:val="20"/>
            <w:szCs w:val="20"/>
          </w:rPr>
          <m:t>≤</m:t>
        </m:r>
        <m:r>
          <m:rPr>
            <m:sty m:val="p"/>
          </m:rPr>
          <w:rPr>
            <w:rFonts w:ascii="Cambria Math" w:hAnsi="Cambria Math"/>
            <w:sz w:val="20"/>
            <w:szCs w:val="20"/>
          </w:rPr>
          <m:t>0,8</m:t>
        </m:r>
      </m:oMath>
      <w:r w:rsidR="000C6BBC" w:rsidRPr="003610FB">
        <w:rPr>
          <w:sz w:val="20"/>
          <w:szCs w:val="20"/>
        </w:rPr>
        <w:t>,</w:t>
      </w:r>
      <w:r w:rsidR="00A511D9">
        <w:rPr>
          <w:sz w:val="20"/>
          <w:szCs w:val="20"/>
        </w:rPr>
        <w:tab/>
      </w:r>
      <w:r w:rsidR="00A511D9">
        <w:rPr>
          <w:sz w:val="20"/>
          <w:szCs w:val="20"/>
        </w:rPr>
        <w:tab/>
      </w:r>
      <w:r w:rsidR="000C6BBC">
        <w:rPr>
          <w:sz w:val="20"/>
          <w:szCs w:val="20"/>
        </w:rPr>
        <w:tab/>
      </w:r>
      <w:r w:rsidR="000C6BBC" w:rsidRPr="003610FB">
        <w:rPr>
          <w:sz w:val="20"/>
          <w:szCs w:val="20"/>
        </w:rPr>
        <w:tab/>
      </w:r>
      <w:r w:rsidR="000C6BBC" w:rsidRPr="003610FB">
        <w:rPr>
          <w:sz w:val="20"/>
          <w:szCs w:val="20"/>
        </w:rPr>
        <w:tab/>
      </w:r>
      <w:r w:rsidR="000C6BBC" w:rsidRPr="003610FB">
        <w:rPr>
          <w:sz w:val="20"/>
          <w:szCs w:val="20"/>
        </w:rPr>
        <w:tab/>
        <w:t>(2)</w:t>
      </w:r>
    </w:p>
    <w:p w14:paraId="7ADE64FC" w14:textId="77777777" w:rsidR="000C6BBC" w:rsidRPr="003610FB" w:rsidRDefault="000C6BBC" w:rsidP="000C6BBC">
      <w:pPr>
        <w:jc w:val="both"/>
        <w:rPr>
          <w:sz w:val="20"/>
          <w:szCs w:val="20"/>
        </w:rPr>
      </w:pPr>
      <w:r w:rsidRPr="003610FB">
        <w:rPr>
          <w:sz w:val="20"/>
          <w:szCs w:val="20"/>
        </w:rPr>
        <w:t xml:space="preserve">где </w:t>
      </w:r>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ф.з.</m:t>
            </m:r>
          </m:sub>
        </m:sSub>
      </m:oMath>
      <w:r w:rsidRPr="003610FB">
        <w:rPr>
          <w:sz w:val="20"/>
          <w:szCs w:val="20"/>
        </w:rPr>
        <w:t xml:space="preserve"> – напряжение на неповрежденной фазе при однофазном КЗ; </w:t>
      </w:r>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ном</m:t>
            </m:r>
          </m:sub>
        </m:sSub>
      </m:oMath>
      <w:r w:rsidRPr="003610FB">
        <w:rPr>
          <w:sz w:val="20"/>
          <w:szCs w:val="20"/>
        </w:rPr>
        <w:t xml:space="preserve"> – номинальное напряжение электрической сети.</w:t>
      </w:r>
    </w:p>
    <w:p w14:paraId="40D51760" w14:textId="77777777" w:rsidR="000C6BBC" w:rsidRPr="003610FB" w:rsidRDefault="000C6BBC" w:rsidP="000C6BBC">
      <w:pPr>
        <w:jc w:val="both"/>
        <w:rPr>
          <w:sz w:val="20"/>
          <w:szCs w:val="20"/>
        </w:rPr>
      </w:pPr>
      <w:r w:rsidRPr="003610FB">
        <w:rPr>
          <w:sz w:val="20"/>
          <w:szCs w:val="20"/>
        </w:rPr>
        <w:t xml:space="preserve">Соотношение (2) показывает, что включение заземляющего резистора не нарушает эффективности заземления нейтрали, если напряжение на неповрежденной фазе при однофазном КЗ на землю не превышает 80% линейного (или 1,4 фазного) номинального напряжения. Повышение напряжения на неповрежденной фазе обусловлено скачком напряжения на </w:t>
      </w:r>
      <w:r>
        <w:rPr>
          <w:sz w:val="20"/>
          <w:szCs w:val="20"/>
        </w:rPr>
        <w:t>нейтрал силового трансформатора</w:t>
      </w:r>
    </w:p>
    <w:p w14:paraId="49EEA0DB" w14:textId="77777777" w:rsidR="000C6BBC" w:rsidRPr="003610FB" w:rsidRDefault="007C506D" w:rsidP="000C6BBC">
      <w:pPr>
        <w:rPr>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k</m:t>
              </m:r>
            </m:e>
            <m:sub>
              <m:r>
                <w:rPr>
                  <w:rFonts w:ascii="Cambria Math" w:hAnsi="Cambria Math"/>
                  <w:sz w:val="20"/>
                  <w:szCs w:val="20"/>
                </w:rPr>
                <m:t>уд</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lang w:val="en-US"/>
                </w:rPr>
                <m:t>R</m:t>
              </m:r>
              <m:r>
                <w:rPr>
                  <w:rFonts w:ascii="Cambria Math" w:hAnsi="Cambria Math"/>
                  <w:sz w:val="20"/>
                  <w:szCs w:val="20"/>
                </w:rPr>
                <m:t>+</m:t>
              </m:r>
              <m:sSub>
                <m:sSubPr>
                  <m:ctrlPr>
                    <w:rPr>
                      <w:rFonts w:ascii="Cambria Math" w:hAnsi="Cambria Math"/>
                      <w:i/>
                      <w:sz w:val="20"/>
                      <w:szCs w:val="20"/>
                      <w:lang w:val="en-US"/>
                    </w:rPr>
                  </m:ctrlPr>
                </m:sSubPr>
                <m:e>
                  <m:r>
                    <w:rPr>
                      <w:rFonts w:ascii="Cambria Math" w:hAnsi="Cambria Math"/>
                      <w:sz w:val="20"/>
                      <w:szCs w:val="20"/>
                      <w:lang w:val="en-US"/>
                    </w:rPr>
                    <m:t>r</m:t>
                  </m:r>
                </m:e>
                <m:sub>
                  <m:r>
                    <w:rPr>
                      <w:rFonts w:ascii="Cambria Math" w:hAnsi="Cambria Math"/>
                      <w:sz w:val="20"/>
                      <w:szCs w:val="20"/>
                    </w:rPr>
                    <m:t>зу</m:t>
                  </m:r>
                </m:sub>
              </m:sSub>
            </m:e>
          </m:d>
          <m:r>
            <w:rPr>
              <w:rFonts w:ascii="Cambria Math" w:hAnsi="Cambria Math"/>
              <w:sz w:val="20"/>
              <w:szCs w:val="20"/>
            </w:rPr>
            <m:t>∙</m:t>
          </m:r>
          <m:sSubSup>
            <m:sSubSupPr>
              <m:ctrlPr>
                <w:rPr>
                  <w:rFonts w:ascii="Cambria Math" w:hAnsi="Cambria Math"/>
                  <w:i/>
                  <w:sz w:val="20"/>
                  <w:szCs w:val="20"/>
                  <w:lang w:val="en-US"/>
                </w:rPr>
              </m:ctrlPr>
            </m:sSubSupPr>
            <m:e>
              <m:r>
                <w:rPr>
                  <w:rFonts w:ascii="Cambria Math" w:hAnsi="Cambria Math"/>
                  <w:sz w:val="20"/>
                  <w:szCs w:val="20"/>
                  <w:lang w:val="en-US"/>
                </w:rPr>
                <m:t>I</m:t>
              </m:r>
            </m:e>
            <m:sub>
              <m:r>
                <w:rPr>
                  <w:rFonts w:ascii="Cambria Math" w:hAnsi="Cambria Math"/>
                  <w:sz w:val="20"/>
                  <w:szCs w:val="20"/>
                </w:rPr>
                <m:t>КЗ</m:t>
              </m:r>
            </m:sub>
            <m:sup>
              <m:d>
                <m:dPr>
                  <m:ctrlPr>
                    <w:rPr>
                      <w:rFonts w:ascii="Cambria Math" w:hAnsi="Cambria Math"/>
                      <w:i/>
                      <w:sz w:val="20"/>
                      <w:szCs w:val="20"/>
                    </w:rPr>
                  </m:ctrlPr>
                </m:dPr>
                <m:e>
                  <m:r>
                    <w:rPr>
                      <w:rFonts w:ascii="Cambria Math" w:hAnsi="Cambria Math"/>
                      <w:sz w:val="20"/>
                      <w:szCs w:val="20"/>
                    </w:rPr>
                    <m:t>1</m:t>
                  </m:r>
                </m:e>
              </m:d>
            </m:sup>
          </m:sSubSup>
          <m:r>
            <w:rPr>
              <w:rFonts w:ascii="Cambria Math" w:hAnsi="Cambria Math"/>
              <w:sz w:val="20"/>
              <w:szCs w:val="20"/>
              <w:lang w:val="en-US"/>
            </w:rPr>
            <m:t>,</m:t>
          </m:r>
        </m:oMath>
      </m:oMathPara>
    </w:p>
    <w:p w14:paraId="629DC95F" w14:textId="77777777" w:rsidR="000C6BBC" w:rsidRPr="003610FB" w:rsidRDefault="000C6BBC" w:rsidP="000C6BBC">
      <w:pPr>
        <w:jc w:val="both"/>
        <w:rPr>
          <w:sz w:val="20"/>
          <w:szCs w:val="20"/>
        </w:rPr>
      </w:pPr>
      <w:r w:rsidRPr="003610FB">
        <w:rPr>
          <w:sz w:val="20"/>
          <w:szCs w:val="20"/>
        </w:rPr>
        <w:t>величина которого максимальна при «близком» КЗ</w:t>
      </w:r>
    </w:p>
    <w:p w14:paraId="5A433D38" w14:textId="77777777" w:rsidR="000C6BBC" w:rsidRPr="003610FB" w:rsidRDefault="007C506D" w:rsidP="000C6BBC">
      <w:pPr>
        <w:jc w:val="right"/>
        <w:rPr>
          <w:sz w:val="20"/>
          <w:szCs w:val="20"/>
        </w:rPr>
      </w:pPr>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N</m:t>
            </m:r>
            <m:r>
              <w:rPr>
                <w:rFonts w:ascii="Cambria Math" w:hAnsi="Cambria Math"/>
                <w:sz w:val="20"/>
                <w:szCs w:val="20"/>
                <w:lang w:val="en-US"/>
              </w:rPr>
              <m:t>max</m:t>
            </m:r>
          </m:sub>
        </m:sSub>
        <m:r>
          <w:rPr>
            <w:rFonts w:ascii="Cambria Math" w:hAnsi="Cambria Math"/>
            <w:sz w:val="20"/>
            <w:szCs w:val="20"/>
          </w:rPr>
          <m:t>=</m:t>
        </m:r>
        <m:f>
          <m:fPr>
            <m:ctrlPr>
              <w:rPr>
                <w:rFonts w:ascii="Cambria Math" w:hAnsi="Cambria Math"/>
                <w:i/>
                <w:sz w:val="20"/>
                <w:szCs w:val="20"/>
              </w:rPr>
            </m:ctrlPr>
          </m:fPr>
          <m:num>
            <m:rad>
              <m:radPr>
                <m:degHide m:val="1"/>
                <m:ctrlPr>
                  <w:rPr>
                    <w:rFonts w:ascii="Cambria Math" w:hAnsi="Cambria Math"/>
                    <w:i/>
                    <w:sz w:val="20"/>
                    <w:szCs w:val="20"/>
                  </w:rPr>
                </m:ctrlPr>
              </m:radPr>
              <m:deg/>
              <m:e>
                <m:r>
                  <w:rPr>
                    <w:rFonts w:ascii="Cambria Math" w:hAnsi="Cambria Math"/>
                    <w:sz w:val="20"/>
                    <w:szCs w:val="20"/>
                  </w:rPr>
                  <m:t>3</m:t>
                </m:r>
              </m:e>
            </m:rad>
            <m:r>
              <w:rPr>
                <w:rFonts w:ascii="Cambria Math" w:hAnsi="Cambria Math"/>
                <w:sz w:val="20"/>
                <w:szCs w:val="20"/>
              </w:rPr>
              <m:t>∙</m:t>
            </m:r>
            <m:sSub>
              <m:sSubPr>
                <m:ctrlPr>
                  <w:rPr>
                    <w:rFonts w:ascii="Cambria Math" w:hAnsi="Cambria Math"/>
                    <w:i/>
                    <w:sz w:val="20"/>
                    <w:szCs w:val="20"/>
                  </w:rPr>
                </m:ctrlPr>
              </m:sSubPr>
              <m:e>
                <m:sSub>
                  <m:sSubPr>
                    <m:ctrlPr>
                      <w:rPr>
                        <w:rFonts w:ascii="Cambria Math" w:hAnsi="Cambria Math"/>
                        <w:i/>
                        <w:sz w:val="20"/>
                        <w:szCs w:val="20"/>
                      </w:rPr>
                    </m:ctrlPr>
                  </m:sSubPr>
                  <m:e>
                    <m:r>
                      <w:rPr>
                        <w:rFonts w:ascii="Cambria Math" w:hAnsi="Cambria Math"/>
                        <w:sz w:val="20"/>
                        <w:szCs w:val="20"/>
                        <w:lang w:val="en-US"/>
                      </w:rPr>
                      <m:t>k</m:t>
                    </m:r>
                  </m:e>
                  <m:sub>
                    <m:r>
                      <w:rPr>
                        <w:rFonts w:ascii="Cambria Math" w:hAnsi="Cambria Math"/>
                        <w:sz w:val="20"/>
                        <w:szCs w:val="20"/>
                      </w:rPr>
                      <m:t>уд</m:t>
                    </m:r>
                  </m:sub>
                </m:sSub>
                <m:r>
                  <w:rPr>
                    <w:rFonts w:ascii="Cambria Math" w:hAnsi="Cambria Math"/>
                    <w:sz w:val="20"/>
                    <w:szCs w:val="20"/>
                  </w:rPr>
                  <m:t>∙U</m:t>
                </m:r>
              </m:e>
              <m:sub>
                <m:r>
                  <w:rPr>
                    <w:rFonts w:ascii="Cambria Math" w:hAnsi="Cambria Math"/>
                    <w:sz w:val="20"/>
                    <w:szCs w:val="20"/>
                  </w:rPr>
                  <m:t>ном</m:t>
                </m:r>
              </m:sub>
            </m:sSub>
            <m:r>
              <w:rPr>
                <w:rFonts w:ascii="Cambria Math" w:hAnsi="Cambria Math"/>
                <w:sz w:val="20"/>
                <w:szCs w:val="20"/>
              </w:rPr>
              <m:t>∙(</m:t>
            </m:r>
            <m:r>
              <w:rPr>
                <w:rFonts w:ascii="Cambria Math" w:hAnsi="Cambria Math"/>
                <w:sz w:val="20"/>
                <w:szCs w:val="20"/>
                <w:lang w:val="en-US"/>
              </w:rPr>
              <m:t>R</m:t>
            </m:r>
            <m:r>
              <w:rPr>
                <w:rFonts w:ascii="Cambria Math" w:hAnsi="Cambria Math"/>
                <w:sz w:val="20"/>
                <w:szCs w:val="20"/>
              </w:rPr>
              <m:t>+</m:t>
            </m:r>
            <m:sSub>
              <m:sSubPr>
                <m:ctrlPr>
                  <w:rPr>
                    <w:rFonts w:ascii="Cambria Math" w:hAnsi="Cambria Math"/>
                    <w:i/>
                    <w:sz w:val="20"/>
                    <w:szCs w:val="20"/>
                    <w:lang w:val="en-US"/>
                  </w:rPr>
                </m:ctrlPr>
              </m:sSubPr>
              <m:e>
                <m:r>
                  <w:rPr>
                    <w:rFonts w:ascii="Cambria Math" w:hAnsi="Cambria Math"/>
                    <w:sz w:val="20"/>
                    <w:szCs w:val="20"/>
                    <w:lang w:val="en-US"/>
                  </w:rPr>
                  <m:t>r</m:t>
                </m:r>
              </m:e>
              <m:sub>
                <m:r>
                  <w:rPr>
                    <w:rFonts w:ascii="Cambria Math" w:hAnsi="Cambria Math"/>
                    <w:sz w:val="20"/>
                    <w:szCs w:val="20"/>
                  </w:rPr>
                  <m:t>зу</m:t>
                </m:r>
              </m:sub>
            </m:sSub>
            <m:r>
              <w:rPr>
                <w:rFonts w:ascii="Cambria Math" w:hAnsi="Cambria Math"/>
                <w:sz w:val="20"/>
                <w:szCs w:val="20"/>
              </w:rPr>
              <m:t>)</m:t>
            </m:r>
          </m:num>
          <m:den>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T</m:t>
                </m:r>
              </m:sub>
            </m:sSub>
          </m:den>
        </m:f>
      </m:oMath>
      <w:r w:rsidR="000C6BBC" w:rsidRPr="003610FB">
        <w:rPr>
          <w:sz w:val="20"/>
          <w:szCs w:val="20"/>
        </w:rPr>
        <w:t>,</w:t>
      </w:r>
      <w:r w:rsidR="000C6BBC">
        <w:rPr>
          <w:sz w:val="20"/>
          <w:szCs w:val="20"/>
        </w:rPr>
        <w:tab/>
      </w:r>
      <w:r w:rsidR="000C6BBC">
        <w:rPr>
          <w:sz w:val="20"/>
          <w:szCs w:val="20"/>
        </w:rPr>
        <w:tab/>
      </w:r>
      <w:r w:rsidR="000C6BBC">
        <w:rPr>
          <w:sz w:val="20"/>
          <w:szCs w:val="20"/>
        </w:rPr>
        <w:tab/>
      </w:r>
      <w:r w:rsidR="000C6BBC">
        <w:rPr>
          <w:sz w:val="20"/>
          <w:szCs w:val="20"/>
        </w:rPr>
        <w:tab/>
      </w:r>
      <w:r w:rsidR="000C6BBC" w:rsidRPr="003610FB">
        <w:rPr>
          <w:sz w:val="20"/>
          <w:szCs w:val="20"/>
        </w:rPr>
        <w:t xml:space="preserve"> (3)</w:t>
      </w:r>
    </w:p>
    <w:p w14:paraId="609062E9" w14:textId="77777777" w:rsidR="000C6BBC" w:rsidRPr="003610FB" w:rsidRDefault="000C6BBC" w:rsidP="000C6BBC">
      <w:pPr>
        <w:jc w:val="both"/>
        <w:rPr>
          <w:sz w:val="20"/>
          <w:szCs w:val="20"/>
        </w:rPr>
      </w:pPr>
      <w:r w:rsidRPr="003610FB">
        <w:rPr>
          <w:sz w:val="20"/>
          <w:szCs w:val="20"/>
        </w:rPr>
        <w:t xml:space="preserve">где </w:t>
      </w:r>
      <m:oMath>
        <m:sSubSup>
          <m:sSubSupPr>
            <m:ctrlPr>
              <w:rPr>
                <w:rFonts w:ascii="Cambria Math" w:hAnsi="Cambria Math"/>
                <w:i/>
                <w:sz w:val="20"/>
                <w:szCs w:val="20"/>
              </w:rPr>
            </m:ctrlPr>
          </m:sSubSupPr>
          <m:e>
            <m:r>
              <w:rPr>
                <w:rFonts w:ascii="Cambria Math" w:hAnsi="Cambria Math"/>
                <w:sz w:val="20"/>
                <w:szCs w:val="20"/>
              </w:rPr>
              <m:t>I</m:t>
            </m:r>
          </m:e>
          <m:sub>
            <m:r>
              <w:rPr>
                <w:rFonts w:ascii="Cambria Math" w:hAnsi="Cambria Math"/>
                <w:sz w:val="20"/>
                <w:szCs w:val="20"/>
              </w:rPr>
              <m:t>кз</m:t>
            </m:r>
          </m:sub>
          <m:sup>
            <m:r>
              <w:rPr>
                <w:rFonts w:ascii="Cambria Math" w:hAnsi="Cambria Math"/>
                <w:sz w:val="20"/>
                <w:szCs w:val="20"/>
              </w:rPr>
              <m:t>(1)</m:t>
            </m:r>
          </m:sup>
        </m:sSubSup>
      </m:oMath>
      <w:r>
        <w:rPr>
          <w:sz w:val="20"/>
          <w:szCs w:val="20"/>
        </w:rPr>
        <w:t xml:space="preserve"> – </w:t>
      </w:r>
      <w:r w:rsidRPr="003610FB">
        <w:rPr>
          <w:sz w:val="20"/>
          <w:szCs w:val="20"/>
        </w:rPr>
        <w:t xml:space="preserve">периодическая составляющая тока однофазного КЗ; </w:t>
      </w:r>
      <m:oMath>
        <m:sSub>
          <m:sSubPr>
            <m:ctrlPr>
              <w:rPr>
                <w:rFonts w:ascii="Cambria Math" w:hAnsi="Cambria Math"/>
                <w:i/>
                <w:sz w:val="20"/>
                <w:szCs w:val="20"/>
              </w:rPr>
            </m:ctrlPr>
          </m:sSubPr>
          <m:e>
            <m:r>
              <w:rPr>
                <w:rFonts w:ascii="Cambria Math" w:hAnsi="Cambria Math"/>
                <w:sz w:val="20"/>
                <w:szCs w:val="20"/>
                <w:lang w:val="en-US"/>
              </w:rPr>
              <m:t>k</m:t>
            </m:r>
          </m:e>
          <m:sub>
            <m:r>
              <w:rPr>
                <w:rFonts w:ascii="Cambria Math" w:hAnsi="Cambria Math"/>
                <w:sz w:val="20"/>
                <w:szCs w:val="20"/>
              </w:rPr>
              <m:t>уд</m:t>
            </m:r>
          </m:sub>
        </m:sSub>
      </m:oMath>
      <w:r w:rsidRPr="003610FB">
        <w:rPr>
          <w:sz w:val="20"/>
          <w:szCs w:val="20"/>
        </w:rPr>
        <w:t xml:space="preserve"> – ударный коэффициент тока короткого замыкания;  </w:t>
      </w:r>
      <m:oMath>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T</m:t>
            </m:r>
          </m:sub>
        </m:sSub>
      </m:oMath>
      <w:r w:rsidRPr="003610FB">
        <w:rPr>
          <w:sz w:val="20"/>
          <w:szCs w:val="20"/>
        </w:rPr>
        <w:t xml:space="preserve"> </w:t>
      </w:r>
      <w:r>
        <w:rPr>
          <w:sz w:val="20"/>
          <w:szCs w:val="20"/>
        </w:rPr>
        <w:t>–</w:t>
      </w:r>
      <w:r w:rsidRPr="003610FB">
        <w:rPr>
          <w:sz w:val="20"/>
          <w:szCs w:val="20"/>
        </w:rPr>
        <w:t xml:space="preserve"> индуктивная составляющая сопротивления короткого замыкания силового трансформатора;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зу</m:t>
            </m:r>
          </m:sub>
        </m:sSub>
      </m:oMath>
      <w:r w:rsidRPr="003610FB">
        <w:rPr>
          <w:sz w:val="20"/>
          <w:szCs w:val="20"/>
        </w:rPr>
        <w:t xml:space="preserve"> – сопротивление заземляющего устройства.</w:t>
      </w:r>
    </w:p>
    <w:p w14:paraId="1E2F6F1F" w14:textId="77777777" w:rsidR="000C6BBC" w:rsidRPr="003610FB" w:rsidRDefault="000C6BBC" w:rsidP="000C6BBC">
      <w:pPr>
        <w:jc w:val="both"/>
        <w:rPr>
          <w:sz w:val="20"/>
          <w:szCs w:val="20"/>
          <w:highlight w:val="yellow"/>
        </w:rPr>
      </w:pPr>
      <w:r w:rsidRPr="003610FB">
        <w:rPr>
          <w:sz w:val="20"/>
          <w:szCs w:val="20"/>
        </w:rPr>
        <w:t>Сопротивление заземляющего устройства не должно превышать 0,5 Ом в любое время года [4], а напряжение на заземляющем устройстве при стекании тока КЗ на землю не должно, как правило, превышать 10 кВ. Напряжение выше 10 кВ допускается на заземляющих устройствах, с которых исключен вынос потенциалов за пределы зданий и внешних ограждений электроустановок [5].</w:t>
      </w:r>
    </w:p>
    <w:p w14:paraId="1CC6B003" w14:textId="77777777" w:rsidR="000C6BBC" w:rsidRPr="003610FB" w:rsidRDefault="000C6BBC" w:rsidP="000C6BBC">
      <w:pPr>
        <w:jc w:val="both"/>
        <w:rPr>
          <w:sz w:val="20"/>
          <w:szCs w:val="20"/>
        </w:rPr>
      </w:pPr>
      <w:r w:rsidRPr="003610FB">
        <w:rPr>
          <w:sz w:val="20"/>
          <w:szCs w:val="20"/>
        </w:rPr>
        <w:t xml:space="preserve">Изоляция вывода нейтрали силовых трансформаторах высокого </w:t>
      </w:r>
      <w:r>
        <w:rPr>
          <w:sz w:val="20"/>
          <w:szCs w:val="20"/>
        </w:rPr>
        <w:t xml:space="preserve">и сверхвысокого напряжения (110 </w:t>
      </w:r>
      <w:r w:rsidRPr="003610FB">
        <w:rPr>
          <w:sz w:val="20"/>
          <w:szCs w:val="20"/>
        </w:rPr>
        <w:t>кВ и выше) выполняется на пониженное по сравнению с изоляцией фазных в</w:t>
      </w:r>
      <w:r>
        <w:rPr>
          <w:sz w:val="20"/>
          <w:szCs w:val="20"/>
        </w:rPr>
        <w:t xml:space="preserve">ыводов напряжение (обычно на 35 </w:t>
      </w:r>
      <w:r w:rsidRPr="003610FB">
        <w:rPr>
          <w:sz w:val="20"/>
          <w:szCs w:val="20"/>
        </w:rPr>
        <w:t xml:space="preserve">кВ). Данное значение в качестве предельно допустимого напряжения на нейтрали, т.е. </w:t>
      </w:r>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N max</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Nдоп</m:t>
            </m:r>
          </m:sub>
        </m:sSub>
        <m:r>
          <w:rPr>
            <w:rFonts w:ascii="Cambria Math" w:hAnsi="Cambria Math"/>
            <w:sz w:val="20"/>
            <w:szCs w:val="20"/>
          </w:rPr>
          <m:t>=35 кВ</m:t>
        </m:r>
      </m:oMath>
      <w:r w:rsidRPr="003610FB">
        <w:rPr>
          <w:sz w:val="20"/>
          <w:szCs w:val="20"/>
        </w:rPr>
        <w:t>, накладывает ограничение на величину сопротивления заземляющего резистора</w:t>
      </w:r>
    </w:p>
    <w:p w14:paraId="0D5B1BF7" w14:textId="77777777" w:rsidR="000C6BBC" w:rsidRPr="003610FB" w:rsidRDefault="000C6BBC" w:rsidP="000C6BBC">
      <w:pPr>
        <w:ind w:firstLine="720"/>
        <w:jc w:val="right"/>
        <w:rPr>
          <w:sz w:val="20"/>
          <w:szCs w:val="20"/>
        </w:rPr>
      </w:pPr>
      <m:oMath>
        <m:r>
          <w:rPr>
            <w:rFonts w:ascii="Cambria Math" w:hAnsi="Cambria Math"/>
            <w:sz w:val="20"/>
            <w:szCs w:val="20"/>
          </w:rPr>
          <m:t>R≤(</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Nдоп</m:t>
                </m:r>
              </m:sub>
            </m:sSub>
          </m:num>
          <m:den>
            <m:rad>
              <m:radPr>
                <m:degHide m:val="1"/>
                <m:ctrlPr>
                  <w:rPr>
                    <w:rFonts w:ascii="Cambria Math" w:hAnsi="Cambria Math"/>
                    <w:i/>
                    <w:sz w:val="20"/>
                    <w:szCs w:val="20"/>
                  </w:rPr>
                </m:ctrlPr>
              </m:radPr>
              <m:deg/>
              <m:e>
                <m:r>
                  <w:rPr>
                    <w:rFonts w:ascii="Cambria Math" w:hAnsi="Cambria Math"/>
                    <w:sz w:val="20"/>
                    <w:szCs w:val="20"/>
                  </w:rPr>
                  <m:t>3</m:t>
                </m:r>
              </m:e>
            </m:rad>
            <m:r>
              <w:rPr>
                <w:rFonts w:ascii="Cambria Math" w:hAnsi="Cambria Math"/>
                <w:sz w:val="20"/>
                <w:szCs w:val="20"/>
              </w:rPr>
              <m:t>∙</m:t>
            </m:r>
            <m:sSub>
              <m:sSubPr>
                <m:ctrlPr>
                  <w:rPr>
                    <w:rFonts w:ascii="Cambria Math" w:hAnsi="Cambria Math"/>
                    <w:i/>
                    <w:sz w:val="20"/>
                    <w:szCs w:val="20"/>
                  </w:rPr>
                </m:ctrlPr>
              </m:sSubPr>
              <m:e>
                <m:sSub>
                  <m:sSubPr>
                    <m:ctrlPr>
                      <w:rPr>
                        <w:rFonts w:ascii="Cambria Math" w:hAnsi="Cambria Math"/>
                        <w:i/>
                        <w:sz w:val="20"/>
                        <w:szCs w:val="20"/>
                      </w:rPr>
                    </m:ctrlPr>
                  </m:sSubPr>
                  <m:e>
                    <m:r>
                      <w:rPr>
                        <w:rFonts w:ascii="Cambria Math" w:hAnsi="Cambria Math"/>
                        <w:sz w:val="20"/>
                        <w:szCs w:val="20"/>
                        <w:lang w:val="en-US"/>
                      </w:rPr>
                      <m:t>k</m:t>
                    </m:r>
                  </m:e>
                  <m:sub>
                    <m:r>
                      <w:rPr>
                        <w:rFonts w:ascii="Cambria Math" w:hAnsi="Cambria Math"/>
                        <w:sz w:val="20"/>
                        <w:szCs w:val="20"/>
                      </w:rPr>
                      <m:t>уд</m:t>
                    </m:r>
                  </m:sub>
                </m:sSub>
                <m:r>
                  <w:rPr>
                    <w:rFonts w:ascii="Cambria Math" w:hAnsi="Cambria Math"/>
                    <w:sz w:val="20"/>
                    <w:szCs w:val="20"/>
                  </w:rPr>
                  <m:t>∙U</m:t>
                </m:r>
              </m:e>
              <m:sub>
                <m:r>
                  <w:rPr>
                    <w:rFonts w:ascii="Cambria Math" w:hAnsi="Cambria Math"/>
                    <w:sz w:val="20"/>
                    <w:szCs w:val="20"/>
                  </w:rPr>
                  <m:t>ном</m:t>
                </m:r>
              </m:sub>
            </m:sSub>
          </m:den>
        </m:f>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зу</m:t>
            </m:r>
          </m:sub>
        </m:sSub>
      </m:oMath>
      <w:r w:rsidRPr="003610FB">
        <w:rPr>
          <w:sz w:val="20"/>
          <w:szCs w:val="20"/>
        </w:rPr>
        <w:t>.</w:t>
      </w:r>
      <w:r w:rsidRPr="003610FB">
        <w:rPr>
          <w:sz w:val="20"/>
          <w:szCs w:val="20"/>
        </w:rPr>
        <w:tab/>
      </w:r>
      <w:r w:rsidRPr="003610FB">
        <w:rPr>
          <w:sz w:val="20"/>
          <w:szCs w:val="20"/>
        </w:rPr>
        <w:tab/>
      </w:r>
      <w:r w:rsidRPr="003610FB">
        <w:rPr>
          <w:sz w:val="20"/>
          <w:szCs w:val="20"/>
        </w:rPr>
        <w:tab/>
        <w:t>(4)</w:t>
      </w:r>
    </w:p>
    <w:p w14:paraId="7B4C8108" w14:textId="77777777" w:rsidR="000C6BBC" w:rsidRPr="001D6FA9" w:rsidRDefault="000C6BBC" w:rsidP="000C6BBC">
      <w:pPr>
        <w:jc w:val="both"/>
        <w:rPr>
          <w:sz w:val="20"/>
          <w:szCs w:val="20"/>
        </w:rPr>
      </w:pPr>
      <w:r w:rsidRPr="003610FB">
        <w:rPr>
          <w:sz w:val="20"/>
          <w:szCs w:val="20"/>
        </w:rPr>
        <w:t>Величина сопротивление заземляющего резистора, выбранная с учетом ограничения (4), как правило недостаточна для выполнения условия (1) ограничения ГИТ до безопасного уровня. Для преодоления указанного противоречия необходимо заземляющий резистор, выбранный по критерию эффективного ограничения ГИТ, шунтировать на время протекания тока однофазного КЗ с помощью дополнительного эл</w:t>
      </w:r>
      <w:r w:rsidRPr="001D6FA9">
        <w:rPr>
          <w:sz w:val="20"/>
          <w:szCs w:val="20"/>
        </w:rPr>
        <w:t xml:space="preserve">ектрооборудования (вакуумный выключатель, нелинейный ограничитель перенапряжений, разъединители). </w:t>
      </w:r>
    </w:p>
    <w:p w14:paraId="65523B0B" w14:textId="77777777" w:rsidR="000C6BBC" w:rsidRPr="001D6FA9" w:rsidRDefault="000C6BBC" w:rsidP="003610FB">
      <w:pPr>
        <w:jc w:val="both"/>
        <w:rPr>
          <w:b/>
          <w:sz w:val="20"/>
          <w:szCs w:val="20"/>
          <w:lang w:eastAsia="en-US"/>
        </w:rPr>
      </w:pPr>
    </w:p>
    <w:p w14:paraId="7118B803" w14:textId="77777777" w:rsidR="00A511D9" w:rsidRPr="001D6FA9" w:rsidRDefault="00A511D9" w:rsidP="00A511D9">
      <w:pPr>
        <w:widowControl w:val="0"/>
        <w:autoSpaceDE w:val="0"/>
        <w:autoSpaceDN w:val="0"/>
        <w:adjustRightInd w:val="0"/>
        <w:jc w:val="both"/>
        <w:rPr>
          <w:b/>
          <w:sz w:val="20"/>
          <w:szCs w:val="20"/>
        </w:rPr>
      </w:pPr>
      <w:r w:rsidRPr="001D6FA9">
        <w:rPr>
          <w:b/>
          <w:sz w:val="20"/>
          <w:szCs w:val="20"/>
        </w:rPr>
        <w:t>Система резистивно-</w:t>
      </w:r>
      <w:proofErr w:type="spellStart"/>
      <w:r w:rsidRPr="001D6FA9">
        <w:rPr>
          <w:b/>
          <w:sz w:val="20"/>
          <w:szCs w:val="20"/>
        </w:rPr>
        <w:t>тиристорного</w:t>
      </w:r>
      <w:proofErr w:type="spellEnd"/>
      <w:r w:rsidRPr="001D6FA9">
        <w:rPr>
          <w:b/>
          <w:sz w:val="20"/>
          <w:szCs w:val="20"/>
        </w:rPr>
        <w:t xml:space="preserve"> заземления </w:t>
      </w:r>
      <w:proofErr w:type="spellStart"/>
      <w:r w:rsidRPr="001D6FA9">
        <w:rPr>
          <w:b/>
          <w:sz w:val="20"/>
          <w:szCs w:val="20"/>
        </w:rPr>
        <w:t>нейтрали</w:t>
      </w:r>
      <w:proofErr w:type="spellEnd"/>
    </w:p>
    <w:p w14:paraId="6BCB68A2" w14:textId="3824A69D" w:rsidR="00A511D9" w:rsidRPr="003610FB" w:rsidRDefault="00A511D9" w:rsidP="00A511D9">
      <w:pPr>
        <w:widowControl w:val="0"/>
        <w:autoSpaceDE w:val="0"/>
        <w:autoSpaceDN w:val="0"/>
        <w:adjustRightInd w:val="0"/>
        <w:jc w:val="both"/>
        <w:rPr>
          <w:sz w:val="20"/>
          <w:szCs w:val="20"/>
        </w:rPr>
      </w:pPr>
      <w:r w:rsidRPr="001D6FA9">
        <w:rPr>
          <w:sz w:val="20"/>
          <w:szCs w:val="20"/>
        </w:rPr>
        <w:t>Выполнить условие (1) эффективного ограничения ГИТ без нарушения условия (2) эффективного заземления нейтрали и ограничения (4) на величину</w:t>
      </w:r>
      <w:r w:rsidRPr="003610FB">
        <w:rPr>
          <w:sz w:val="20"/>
          <w:szCs w:val="20"/>
        </w:rPr>
        <w:t xml:space="preserve"> заземляющего резистора позволит система резистивно-</w:t>
      </w:r>
      <w:proofErr w:type="spellStart"/>
      <w:r w:rsidRPr="003610FB">
        <w:rPr>
          <w:sz w:val="20"/>
          <w:szCs w:val="20"/>
        </w:rPr>
        <w:t>тиристорного</w:t>
      </w:r>
      <w:proofErr w:type="spellEnd"/>
      <w:r w:rsidRPr="003610FB">
        <w:rPr>
          <w:sz w:val="20"/>
          <w:szCs w:val="20"/>
        </w:rPr>
        <w:t xml:space="preserve"> заземления, функционирование которой удовлетворяет следующим требованиям:</w:t>
      </w:r>
    </w:p>
    <w:p w14:paraId="757A0D41" w14:textId="77777777" w:rsidR="00A511D9" w:rsidRPr="003610FB" w:rsidRDefault="00A511D9" w:rsidP="00A511D9">
      <w:pPr>
        <w:widowControl w:val="0"/>
        <w:autoSpaceDE w:val="0"/>
        <w:autoSpaceDN w:val="0"/>
        <w:adjustRightInd w:val="0"/>
        <w:jc w:val="both"/>
        <w:rPr>
          <w:sz w:val="20"/>
          <w:szCs w:val="20"/>
        </w:rPr>
      </w:pPr>
      <w:r w:rsidRPr="003610FB">
        <w:rPr>
          <w:sz w:val="20"/>
          <w:szCs w:val="20"/>
        </w:rPr>
        <w:t xml:space="preserve">- обеспечивает режим </w:t>
      </w:r>
      <w:proofErr w:type="spellStart"/>
      <w:r w:rsidRPr="003610FB">
        <w:rPr>
          <w:sz w:val="20"/>
          <w:szCs w:val="20"/>
        </w:rPr>
        <w:t>глухозаземленной</w:t>
      </w:r>
      <w:proofErr w:type="spellEnd"/>
      <w:r w:rsidRPr="003610FB">
        <w:rPr>
          <w:sz w:val="20"/>
          <w:szCs w:val="20"/>
        </w:rPr>
        <w:t xml:space="preserve"> </w:t>
      </w:r>
      <w:proofErr w:type="spellStart"/>
      <w:r w:rsidRPr="003610FB">
        <w:rPr>
          <w:sz w:val="20"/>
          <w:szCs w:val="20"/>
        </w:rPr>
        <w:t>нейтрали</w:t>
      </w:r>
      <w:proofErr w:type="spellEnd"/>
      <w:r w:rsidRPr="003610FB">
        <w:rPr>
          <w:sz w:val="20"/>
          <w:szCs w:val="20"/>
        </w:rPr>
        <w:t xml:space="preserve"> при отсутствии ГИТ;</w:t>
      </w:r>
    </w:p>
    <w:p w14:paraId="665B60EF" w14:textId="77777777" w:rsidR="00A511D9" w:rsidRPr="003610FB" w:rsidRDefault="00A511D9" w:rsidP="00A511D9">
      <w:pPr>
        <w:widowControl w:val="0"/>
        <w:autoSpaceDE w:val="0"/>
        <w:autoSpaceDN w:val="0"/>
        <w:adjustRightInd w:val="0"/>
        <w:jc w:val="both"/>
        <w:rPr>
          <w:sz w:val="20"/>
          <w:szCs w:val="20"/>
        </w:rPr>
      </w:pPr>
      <w:r w:rsidRPr="003610FB">
        <w:rPr>
          <w:sz w:val="20"/>
          <w:szCs w:val="20"/>
        </w:rPr>
        <w:t xml:space="preserve">- обеспечивает режим </w:t>
      </w:r>
      <w:proofErr w:type="spellStart"/>
      <w:r w:rsidRPr="003610FB">
        <w:rPr>
          <w:sz w:val="20"/>
          <w:szCs w:val="20"/>
        </w:rPr>
        <w:t>глухозаземленной</w:t>
      </w:r>
      <w:proofErr w:type="spellEnd"/>
      <w:r w:rsidRPr="003610FB">
        <w:rPr>
          <w:sz w:val="20"/>
          <w:szCs w:val="20"/>
        </w:rPr>
        <w:t xml:space="preserve"> </w:t>
      </w:r>
      <w:proofErr w:type="spellStart"/>
      <w:r w:rsidRPr="003610FB">
        <w:rPr>
          <w:sz w:val="20"/>
          <w:szCs w:val="20"/>
        </w:rPr>
        <w:t>нейтрали</w:t>
      </w:r>
      <w:proofErr w:type="spellEnd"/>
      <w:r w:rsidRPr="003610FB">
        <w:rPr>
          <w:sz w:val="20"/>
          <w:szCs w:val="20"/>
        </w:rPr>
        <w:t xml:space="preserve"> при наличии ГИТ, не вызывающих насыщение магнитной системы силового трансформатора;</w:t>
      </w:r>
    </w:p>
    <w:p w14:paraId="5AA2A76F" w14:textId="77777777" w:rsidR="00A511D9" w:rsidRPr="003610FB" w:rsidRDefault="00A511D9" w:rsidP="00A511D9">
      <w:pPr>
        <w:widowControl w:val="0"/>
        <w:autoSpaceDE w:val="0"/>
        <w:autoSpaceDN w:val="0"/>
        <w:adjustRightInd w:val="0"/>
        <w:jc w:val="both"/>
        <w:rPr>
          <w:sz w:val="20"/>
          <w:szCs w:val="20"/>
        </w:rPr>
      </w:pPr>
      <w:r w:rsidRPr="003610FB">
        <w:rPr>
          <w:sz w:val="20"/>
          <w:szCs w:val="20"/>
        </w:rPr>
        <w:t>- обеспечивает режим резистивного заземления нейтрали при появлении ГИТ, вызывающих насыщение магнитной системы силового трансформатора;</w:t>
      </w:r>
    </w:p>
    <w:p w14:paraId="2CFE3BC5" w14:textId="77777777" w:rsidR="00A511D9" w:rsidRPr="003610FB" w:rsidRDefault="00A511D9" w:rsidP="00A511D9">
      <w:pPr>
        <w:widowControl w:val="0"/>
        <w:autoSpaceDE w:val="0"/>
        <w:autoSpaceDN w:val="0"/>
        <w:adjustRightInd w:val="0"/>
        <w:jc w:val="both"/>
        <w:rPr>
          <w:sz w:val="20"/>
          <w:szCs w:val="20"/>
        </w:rPr>
      </w:pPr>
      <w:r w:rsidRPr="003610FB">
        <w:rPr>
          <w:sz w:val="20"/>
          <w:szCs w:val="20"/>
        </w:rPr>
        <w:t xml:space="preserve">- обеспечивает прерывание режима резистивного заземления и перевод в режим </w:t>
      </w:r>
      <w:proofErr w:type="spellStart"/>
      <w:r w:rsidRPr="003610FB">
        <w:rPr>
          <w:sz w:val="20"/>
          <w:szCs w:val="20"/>
        </w:rPr>
        <w:t>глухозаземленной</w:t>
      </w:r>
      <w:proofErr w:type="spellEnd"/>
      <w:r w:rsidRPr="003610FB">
        <w:rPr>
          <w:sz w:val="20"/>
          <w:szCs w:val="20"/>
        </w:rPr>
        <w:t xml:space="preserve"> </w:t>
      </w:r>
      <w:proofErr w:type="spellStart"/>
      <w:r w:rsidRPr="003610FB">
        <w:rPr>
          <w:sz w:val="20"/>
          <w:szCs w:val="20"/>
        </w:rPr>
        <w:t>нейтрали</w:t>
      </w:r>
      <w:proofErr w:type="spellEnd"/>
      <w:r w:rsidRPr="003610FB">
        <w:rPr>
          <w:sz w:val="20"/>
          <w:szCs w:val="20"/>
        </w:rPr>
        <w:t xml:space="preserve"> при возникновении однофазного КЗ;</w:t>
      </w:r>
    </w:p>
    <w:p w14:paraId="3047C45E" w14:textId="77777777" w:rsidR="00A511D9" w:rsidRPr="003610FB" w:rsidRDefault="00A511D9" w:rsidP="00A511D9">
      <w:pPr>
        <w:widowControl w:val="0"/>
        <w:autoSpaceDE w:val="0"/>
        <w:autoSpaceDN w:val="0"/>
        <w:adjustRightInd w:val="0"/>
        <w:jc w:val="both"/>
        <w:rPr>
          <w:sz w:val="20"/>
          <w:szCs w:val="20"/>
        </w:rPr>
      </w:pPr>
      <w:r w:rsidRPr="003610FB">
        <w:rPr>
          <w:sz w:val="20"/>
          <w:szCs w:val="20"/>
        </w:rPr>
        <w:t>- обеспечивает автоматическое управление режимом заземления нейтрали без участия оперативно-диспетчерского персонала;</w:t>
      </w:r>
    </w:p>
    <w:p w14:paraId="4C450EC8" w14:textId="77777777" w:rsidR="00A511D9" w:rsidRPr="001D6FA9" w:rsidRDefault="00A511D9" w:rsidP="00A511D9">
      <w:pPr>
        <w:widowControl w:val="0"/>
        <w:autoSpaceDE w:val="0"/>
        <w:autoSpaceDN w:val="0"/>
        <w:adjustRightInd w:val="0"/>
        <w:jc w:val="both"/>
        <w:rPr>
          <w:sz w:val="20"/>
          <w:szCs w:val="20"/>
        </w:rPr>
      </w:pPr>
      <w:r w:rsidRPr="003610FB">
        <w:rPr>
          <w:sz w:val="20"/>
          <w:szCs w:val="20"/>
        </w:rPr>
        <w:t xml:space="preserve">- исключает возможность </w:t>
      </w:r>
      <w:proofErr w:type="spellStart"/>
      <w:r w:rsidRPr="003610FB">
        <w:rPr>
          <w:sz w:val="20"/>
          <w:szCs w:val="20"/>
        </w:rPr>
        <w:t>разземления</w:t>
      </w:r>
      <w:proofErr w:type="spellEnd"/>
      <w:r w:rsidRPr="003610FB">
        <w:rPr>
          <w:sz w:val="20"/>
          <w:szCs w:val="20"/>
        </w:rPr>
        <w:t xml:space="preserve"> </w:t>
      </w:r>
      <w:proofErr w:type="spellStart"/>
      <w:r w:rsidRPr="003610FB">
        <w:rPr>
          <w:sz w:val="20"/>
          <w:szCs w:val="20"/>
        </w:rPr>
        <w:t>нейтрали</w:t>
      </w:r>
      <w:proofErr w:type="spellEnd"/>
      <w:r w:rsidRPr="003610FB">
        <w:rPr>
          <w:sz w:val="20"/>
          <w:szCs w:val="20"/>
        </w:rPr>
        <w:t xml:space="preserve"> при возникновении любой неисправности и обеспечивает продолжение работы силового трансформатора в режиме </w:t>
      </w:r>
      <w:proofErr w:type="spellStart"/>
      <w:r w:rsidRPr="003610FB">
        <w:rPr>
          <w:sz w:val="20"/>
          <w:szCs w:val="20"/>
        </w:rPr>
        <w:t>глухозаземленной</w:t>
      </w:r>
      <w:proofErr w:type="spellEnd"/>
      <w:r w:rsidRPr="003610FB">
        <w:rPr>
          <w:sz w:val="20"/>
          <w:szCs w:val="20"/>
        </w:rPr>
        <w:t xml:space="preserve"> </w:t>
      </w:r>
      <w:proofErr w:type="spellStart"/>
      <w:r w:rsidRPr="003610FB">
        <w:rPr>
          <w:sz w:val="20"/>
          <w:szCs w:val="20"/>
        </w:rPr>
        <w:t>нейтрали</w:t>
      </w:r>
      <w:proofErr w:type="spellEnd"/>
      <w:r w:rsidRPr="003610FB">
        <w:rPr>
          <w:sz w:val="20"/>
          <w:szCs w:val="20"/>
        </w:rPr>
        <w:t xml:space="preserve"> до планового </w:t>
      </w:r>
      <w:r w:rsidRPr="001D6FA9">
        <w:rPr>
          <w:sz w:val="20"/>
          <w:szCs w:val="20"/>
        </w:rPr>
        <w:t>отключения.</w:t>
      </w:r>
    </w:p>
    <w:p w14:paraId="19DDC496" w14:textId="77777777" w:rsidR="00A511D9" w:rsidRPr="001D6FA9" w:rsidRDefault="00A511D9" w:rsidP="003610FB">
      <w:pPr>
        <w:jc w:val="both"/>
        <w:rPr>
          <w:b/>
          <w:sz w:val="20"/>
          <w:szCs w:val="20"/>
          <w:lang w:eastAsia="en-US"/>
        </w:rPr>
      </w:pPr>
    </w:p>
    <w:p w14:paraId="493BB444" w14:textId="2AB91816" w:rsidR="00CE3ACF" w:rsidRPr="001D6FA9" w:rsidRDefault="00167EF2" w:rsidP="003610FB">
      <w:pPr>
        <w:jc w:val="both"/>
        <w:rPr>
          <w:b/>
          <w:sz w:val="20"/>
          <w:szCs w:val="20"/>
          <w:lang w:eastAsia="en-US"/>
        </w:rPr>
      </w:pPr>
      <w:r w:rsidRPr="001D6FA9">
        <w:rPr>
          <w:b/>
          <w:sz w:val="20"/>
          <w:szCs w:val="20"/>
          <w:lang w:eastAsia="en-US"/>
        </w:rPr>
        <w:t>Устройство защиты высоковольтного силового трансформатора от воздействия ГИТ</w:t>
      </w:r>
      <w:r w:rsidR="003610FB" w:rsidRPr="001D6FA9">
        <w:rPr>
          <w:sz w:val="20"/>
          <w:szCs w:val="20"/>
        </w:rPr>
        <w:t xml:space="preserve"> </w:t>
      </w:r>
      <w:r w:rsidR="003610FB" w:rsidRPr="001D6FA9">
        <w:rPr>
          <w:b/>
          <w:sz w:val="20"/>
          <w:szCs w:val="20"/>
          <w:lang w:eastAsia="en-US"/>
        </w:rPr>
        <w:t>с функцией индикации насыщенного состояния магнитопровода</w:t>
      </w:r>
    </w:p>
    <w:p w14:paraId="7E8E6877" w14:textId="0A7138DC" w:rsidR="00841247" w:rsidRPr="003610FB" w:rsidRDefault="00AC1C52" w:rsidP="003610FB">
      <w:pPr>
        <w:jc w:val="both"/>
        <w:rPr>
          <w:sz w:val="20"/>
          <w:szCs w:val="20"/>
          <w:lang w:eastAsia="en-US"/>
        </w:rPr>
      </w:pPr>
      <w:r w:rsidRPr="001D6FA9">
        <w:rPr>
          <w:sz w:val="20"/>
          <w:szCs w:val="20"/>
          <w:lang w:eastAsia="en-US"/>
        </w:rPr>
        <w:t>В Тольяттинском государственном университете разработано устройство защиты силовых</w:t>
      </w:r>
      <w:r w:rsidRPr="003610FB">
        <w:rPr>
          <w:sz w:val="20"/>
          <w:szCs w:val="20"/>
          <w:lang w:eastAsia="en-US"/>
        </w:rPr>
        <w:t xml:space="preserve"> трансформаторов, сочетающее в себе функции мониторинга ГИТ </w:t>
      </w:r>
      <w:r w:rsidR="00C062BE" w:rsidRPr="003610FB">
        <w:rPr>
          <w:sz w:val="20"/>
          <w:szCs w:val="20"/>
          <w:lang w:eastAsia="en-US"/>
        </w:rPr>
        <w:t>и резистивно-</w:t>
      </w:r>
      <w:proofErr w:type="spellStart"/>
      <w:r w:rsidR="00C062BE" w:rsidRPr="003610FB">
        <w:rPr>
          <w:sz w:val="20"/>
          <w:szCs w:val="20"/>
          <w:lang w:eastAsia="en-US"/>
        </w:rPr>
        <w:t>тиристорного</w:t>
      </w:r>
      <w:proofErr w:type="spellEnd"/>
      <w:r w:rsidR="00C062BE" w:rsidRPr="003610FB">
        <w:rPr>
          <w:sz w:val="20"/>
          <w:szCs w:val="20"/>
          <w:lang w:eastAsia="en-US"/>
        </w:rPr>
        <w:t xml:space="preserve"> заземления силовых трансформаторов, когда резистивное заземление нейтрали используется только </w:t>
      </w:r>
      <w:r w:rsidR="006B284C" w:rsidRPr="003610FB">
        <w:rPr>
          <w:sz w:val="20"/>
          <w:szCs w:val="20"/>
          <w:lang w:eastAsia="en-US"/>
        </w:rPr>
        <w:t>при одновременно</w:t>
      </w:r>
      <w:r w:rsidR="00F61318" w:rsidRPr="003610FB">
        <w:rPr>
          <w:sz w:val="20"/>
          <w:szCs w:val="20"/>
          <w:lang w:eastAsia="en-US"/>
        </w:rPr>
        <w:t>м выполнении двух критериев:</w:t>
      </w:r>
      <w:r w:rsidR="006B284C" w:rsidRPr="003610FB">
        <w:rPr>
          <w:sz w:val="20"/>
          <w:szCs w:val="20"/>
          <w:lang w:eastAsia="en-US"/>
        </w:rPr>
        <w:t xml:space="preserve"> фиксации возрастания ГИТ и насыщенного</w:t>
      </w:r>
      <w:r w:rsidR="00F61318" w:rsidRPr="003610FB">
        <w:rPr>
          <w:sz w:val="20"/>
          <w:szCs w:val="20"/>
          <w:lang w:eastAsia="en-US"/>
        </w:rPr>
        <w:t xml:space="preserve"> состояния магнитопровода по 6-й гармонике тока намагничивания</w:t>
      </w:r>
      <w:r w:rsidR="00C062BE" w:rsidRPr="003610FB">
        <w:rPr>
          <w:sz w:val="20"/>
          <w:szCs w:val="20"/>
          <w:lang w:eastAsia="en-US"/>
        </w:rPr>
        <w:t xml:space="preserve">, а при отсутствии </w:t>
      </w:r>
      <w:r w:rsidR="00F61318" w:rsidRPr="003610FB">
        <w:rPr>
          <w:sz w:val="20"/>
          <w:szCs w:val="20"/>
          <w:lang w:eastAsia="en-US"/>
        </w:rPr>
        <w:t xml:space="preserve">хотя бы одного из указанных критериев </w:t>
      </w:r>
      <w:r w:rsidR="00C062BE" w:rsidRPr="003610FB">
        <w:rPr>
          <w:sz w:val="20"/>
          <w:szCs w:val="20"/>
          <w:lang w:eastAsia="en-US"/>
        </w:rPr>
        <w:t xml:space="preserve">– </w:t>
      </w:r>
      <w:r w:rsidRPr="003610FB">
        <w:rPr>
          <w:sz w:val="20"/>
          <w:szCs w:val="20"/>
          <w:lang w:eastAsia="en-US"/>
        </w:rPr>
        <w:t xml:space="preserve">используется </w:t>
      </w:r>
      <w:r w:rsidR="00C062BE" w:rsidRPr="003610FB">
        <w:rPr>
          <w:sz w:val="20"/>
          <w:szCs w:val="20"/>
          <w:lang w:eastAsia="en-US"/>
        </w:rPr>
        <w:t xml:space="preserve">режим </w:t>
      </w:r>
      <w:proofErr w:type="spellStart"/>
      <w:r w:rsidR="00C062BE" w:rsidRPr="003610FB">
        <w:rPr>
          <w:sz w:val="20"/>
          <w:szCs w:val="20"/>
          <w:lang w:eastAsia="en-US"/>
        </w:rPr>
        <w:t>глухозаземленной</w:t>
      </w:r>
      <w:proofErr w:type="spellEnd"/>
      <w:r w:rsidR="00C062BE" w:rsidRPr="003610FB">
        <w:rPr>
          <w:sz w:val="20"/>
          <w:szCs w:val="20"/>
          <w:lang w:eastAsia="en-US"/>
        </w:rPr>
        <w:t xml:space="preserve"> </w:t>
      </w:r>
      <w:proofErr w:type="spellStart"/>
      <w:r w:rsidR="00C062BE" w:rsidRPr="003610FB">
        <w:rPr>
          <w:sz w:val="20"/>
          <w:szCs w:val="20"/>
          <w:lang w:eastAsia="en-US"/>
        </w:rPr>
        <w:t>нейтрали</w:t>
      </w:r>
      <w:proofErr w:type="spellEnd"/>
      <w:r w:rsidR="00C062BE" w:rsidRPr="003610FB">
        <w:rPr>
          <w:sz w:val="20"/>
          <w:szCs w:val="20"/>
          <w:lang w:eastAsia="en-US"/>
        </w:rPr>
        <w:t xml:space="preserve">. </w:t>
      </w:r>
      <w:r w:rsidR="00841247" w:rsidRPr="003610FB">
        <w:rPr>
          <w:sz w:val="20"/>
          <w:szCs w:val="20"/>
          <w:lang w:eastAsia="en-US"/>
        </w:rPr>
        <w:t>Структурная схема такого устройства защиты (УЗ) приведена на рисунке 1.</w:t>
      </w:r>
    </w:p>
    <w:p w14:paraId="347B9941" w14:textId="77777777" w:rsidR="00DB590B" w:rsidRPr="003610FB" w:rsidRDefault="00DB590B" w:rsidP="00DB590B">
      <w:pPr>
        <w:jc w:val="both"/>
        <w:rPr>
          <w:sz w:val="20"/>
          <w:szCs w:val="20"/>
          <w:lang w:eastAsia="en-US"/>
        </w:rPr>
      </w:pPr>
      <w:r>
        <w:rPr>
          <w:sz w:val="20"/>
          <w:szCs w:val="20"/>
          <w:lang w:eastAsia="en-US"/>
        </w:rPr>
        <w:t>У</w:t>
      </w:r>
      <w:r w:rsidRPr="003610FB">
        <w:rPr>
          <w:sz w:val="20"/>
          <w:szCs w:val="20"/>
          <w:lang w:eastAsia="en-US"/>
        </w:rPr>
        <w:t xml:space="preserve">стройство защиты </w:t>
      </w:r>
      <w:r w:rsidRPr="000C6BBC">
        <w:rPr>
          <w:sz w:val="20"/>
          <w:szCs w:val="20"/>
          <w:lang w:eastAsia="en-US"/>
        </w:rPr>
        <w:t xml:space="preserve">высоковольтного силового трансформатора </w:t>
      </w:r>
      <w:r w:rsidRPr="003610FB">
        <w:rPr>
          <w:sz w:val="20"/>
          <w:szCs w:val="20"/>
          <w:lang w:eastAsia="en-US"/>
        </w:rPr>
        <w:t xml:space="preserve">состоит из двух подсистем: </w:t>
      </w:r>
    </w:p>
    <w:p w14:paraId="04B328EF" w14:textId="77777777" w:rsidR="00DB590B" w:rsidRPr="003610FB" w:rsidRDefault="00DB590B" w:rsidP="00DB590B">
      <w:pPr>
        <w:jc w:val="both"/>
        <w:rPr>
          <w:sz w:val="20"/>
          <w:szCs w:val="20"/>
          <w:lang w:eastAsia="en-US"/>
        </w:rPr>
      </w:pPr>
      <w:r w:rsidRPr="003610FB">
        <w:rPr>
          <w:sz w:val="20"/>
          <w:szCs w:val="20"/>
          <w:lang w:eastAsia="en-US"/>
        </w:rPr>
        <w:t xml:space="preserve">- канала мониторинга, включающего блок измерения тока </w:t>
      </w:r>
      <w:proofErr w:type="spellStart"/>
      <w:r w:rsidRPr="003610FB">
        <w:rPr>
          <w:sz w:val="20"/>
          <w:szCs w:val="20"/>
          <w:lang w:eastAsia="en-US"/>
        </w:rPr>
        <w:t>нейтрали</w:t>
      </w:r>
      <w:proofErr w:type="spellEnd"/>
      <w:r w:rsidRPr="003610FB">
        <w:rPr>
          <w:sz w:val="20"/>
          <w:szCs w:val="20"/>
          <w:lang w:eastAsia="en-US"/>
        </w:rPr>
        <w:t xml:space="preserve"> ПТ, блок обработки и регистрации сигнала </w:t>
      </w:r>
      <w:proofErr w:type="spellStart"/>
      <w:r w:rsidRPr="003610FB">
        <w:rPr>
          <w:sz w:val="20"/>
          <w:szCs w:val="20"/>
          <w:lang w:eastAsia="en-US"/>
        </w:rPr>
        <w:t>БОиРС</w:t>
      </w:r>
      <w:proofErr w:type="spellEnd"/>
      <w:r w:rsidRPr="003610FB">
        <w:rPr>
          <w:sz w:val="20"/>
          <w:szCs w:val="20"/>
          <w:lang w:eastAsia="en-US"/>
        </w:rPr>
        <w:t xml:space="preserve">, токовую петлю ТП для передачи сигнала в диспетчерский пункт ДП (подсистема I). Канал мониторинга УЗ может работать независимо; </w:t>
      </w:r>
    </w:p>
    <w:p w14:paraId="683615E3" w14:textId="77777777" w:rsidR="00DB590B" w:rsidRPr="003610FB" w:rsidRDefault="00DB590B" w:rsidP="00DB590B">
      <w:pPr>
        <w:jc w:val="both"/>
        <w:rPr>
          <w:sz w:val="20"/>
          <w:szCs w:val="20"/>
          <w:lang w:eastAsia="en-US"/>
        </w:rPr>
      </w:pPr>
      <w:r w:rsidRPr="003610FB">
        <w:rPr>
          <w:sz w:val="20"/>
          <w:szCs w:val="20"/>
          <w:lang w:eastAsia="en-US"/>
        </w:rPr>
        <w:t>- силового блока (</w:t>
      </w:r>
      <w:proofErr w:type="spellStart"/>
      <w:r w:rsidRPr="003610FB">
        <w:rPr>
          <w:sz w:val="20"/>
          <w:szCs w:val="20"/>
          <w:lang w:eastAsia="en-US"/>
        </w:rPr>
        <w:t>резисторно-тиристорный</w:t>
      </w:r>
      <w:proofErr w:type="spellEnd"/>
      <w:r w:rsidRPr="003610FB">
        <w:rPr>
          <w:sz w:val="20"/>
          <w:szCs w:val="20"/>
          <w:lang w:eastAsia="en-US"/>
        </w:rPr>
        <w:t xml:space="preserve"> блок РТБ) и блока управления режимом заземления </w:t>
      </w:r>
      <w:proofErr w:type="spellStart"/>
      <w:r w:rsidRPr="003610FB">
        <w:rPr>
          <w:sz w:val="20"/>
          <w:szCs w:val="20"/>
          <w:lang w:eastAsia="en-US"/>
        </w:rPr>
        <w:t>нейтрали</w:t>
      </w:r>
      <w:proofErr w:type="spellEnd"/>
      <w:r w:rsidRPr="003610FB">
        <w:rPr>
          <w:sz w:val="20"/>
          <w:szCs w:val="20"/>
          <w:lang w:eastAsia="en-US"/>
        </w:rPr>
        <w:t xml:space="preserve"> БУРЗ (подсистема II). </w:t>
      </w:r>
    </w:p>
    <w:p w14:paraId="7DF2A716" w14:textId="77777777" w:rsidR="00DB590B" w:rsidRPr="003610FB" w:rsidRDefault="00DB590B" w:rsidP="00DB590B">
      <w:pPr>
        <w:jc w:val="both"/>
        <w:rPr>
          <w:sz w:val="20"/>
          <w:szCs w:val="20"/>
          <w:lang w:eastAsia="en-US"/>
        </w:rPr>
      </w:pPr>
      <w:r w:rsidRPr="003610FB">
        <w:rPr>
          <w:sz w:val="20"/>
          <w:szCs w:val="20"/>
          <w:lang w:eastAsia="en-US"/>
        </w:rPr>
        <w:t xml:space="preserve">В диспетчерский пункт </w:t>
      </w:r>
      <w:proofErr w:type="spellStart"/>
      <w:r w:rsidRPr="003610FB">
        <w:rPr>
          <w:sz w:val="20"/>
          <w:szCs w:val="20"/>
          <w:lang w:eastAsia="en-US"/>
        </w:rPr>
        <w:t>энергообъекта</w:t>
      </w:r>
      <w:proofErr w:type="spellEnd"/>
      <w:r w:rsidRPr="003610FB">
        <w:rPr>
          <w:sz w:val="20"/>
          <w:szCs w:val="20"/>
          <w:lang w:eastAsia="en-US"/>
        </w:rPr>
        <w:t xml:space="preserve"> передается информация о текущем состоянии заземления нейтрали высоковольтного силового трансформатора и уровня ГИТ.</w:t>
      </w:r>
    </w:p>
    <w:p w14:paraId="23DE0233" w14:textId="2BF5E3AA" w:rsidR="00C95BD3" w:rsidRPr="003610FB" w:rsidRDefault="00DB590B" w:rsidP="00DB590B">
      <w:pPr>
        <w:jc w:val="both"/>
        <w:rPr>
          <w:sz w:val="20"/>
          <w:szCs w:val="20"/>
          <w:lang w:eastAsia="en-US"/>
        </w:rPr>
      </w:pPr>
      <w:r w:rsidRPr="003610FB">
        <w:rPr>
          <w:sz w:val="20"/>
          <w:szCs w:val="20"/>
          <w:lang w:eastAsia="en-US"/>
        </w:rPr>
        <w:t xml:space="preserve">При отсутствии геоиндуцированных токов </w:t>
      </w:r>
      <w:proofErr w:type="spellStart"/>
      <w:r w:rsidRPr="003610FB">
        <w:rPr>
          <w:sz w:val="20"/>
          <w:szCs w:val="20"/>
          <w:lang w:eastAsia="en-US"/>
        </w:rPr>
        <w:t>нейтраль</w:t>
      </w:r>
      <w:proofErr w:type="spellEnd"/>
      <w:r w:rsidRPr="003610FB">
        <w:rPr>
          <w:sz w:val="20"/>
          <w:szCs w:val="20"/>
          <w:lang w:eastAsia="en-US"/>
        </w:rPr>
        <w:t xml:space="preserve"> силового трансформатора СТ </w:t>
      </w:r>
      <w:proofErr w:type="spellStart"/>
      <w:r w:rsidRPr="003610FB">
        <w:rPr>
          <w:sz w:val="20"/>
          <w:szCs w:val="20"/>
          <w:lang w:eastAsia="en-US"/>
        </w:rPr>
        <w:t>глухозаземлена</w:t>
      </w:r>
      <w:proofErr w:type="spellEnd"/>
      <w:r w:rsidRPr="003610FB">
        <w:rPr>
          <w:sz w:val="20"/>
          <w:szCs w:val="20"/>
          <w:lang w:eastAsia="en-US"/>
        </w:rPr>
        <w:t xml:space="preserve"> через </w:t>
      </w:r>
      <w:proofErr w:type="spellStart"/>
      <w:r w:rsidRPr="003610FB">
        <w:rPr>
          <w:sz w:val="20"/>
          <w:szCs w:val="20"/>
          <w:lang w:eastAsia="en-US"/>
        </w:rPr>
        <w:t>тиристорный</w:t>
      </w:r>
      <w:proofErr w:type="spellEnd"/>
      <w:r w:rsidRPr="003610FB">
        <w:rPr>
          <w:sz w:val="20"/>
          <w:szCs w:val="20"/>
          <w:lang w:eastAsia="en-US"/>
        </w:rPr>
        <w:t xml:space="preserve"> ключ ТК. При одновременном поступлении сигналов о регистрации ГИТ и 6-й гармоники тока намагничивания блок управления режимом заземления </w:t>
      </w:r>
      <w:proofErr w:type="spellStart"/>
      <w:r w:rsidRPr="003610FB">
        <w:rPr>
          <w:sz w:val="20"/>
          <w:szCs w:val="20"/>
          <w:lang w:eastAsia="en-US"/>
        </w:rPr>
        <w:t>нейтрали</w:t>
      </w:r>
      <w:proofErr w:type="spellEnd"/>
      <w:r w:rsidRPr="003610FB">
        <w:rPr>
          <w:sz w:val="20"/>
          <w:szCs w:val="20"/>
          <w:lang w:eastAsia="en-US"/>
        </w:rPr>
        <w:t xml:space="preserve"> БУРЗ блокирует управляющий сигнал </w:t>
      </w:r>
      <w:proofErr w:type="spellStart"/>
      <w:r w:rsidRPr="003610FB">
        <w:rPr>
          <w:sz w:val="20"/>
          <w:szCs w:val="20"/>
          <w:lang w:eastAsia="en-US"/>
        </w:rPr>
        <w:t>тиристорным</w:t>
      </w:r>
      <w:proofErr w:type="spellEnd"/>
      <w:r w:rsidRPr="003610FB">
        <w:rPr>
          <w:sz w:val="20"/>
          <w:szCs w:val="20"/>
          <w:lang w:eastAsia="en-US"/>
        </w:rPr>
        <w:t xml:space="preserve"> ключом ТК </w:t>
      </w:r>
      <w:proofErr w:type="spellStart"/>
      <w:r w:rsidRPr="003610FB">
        <w:rPr>
          <w:sz w:val="20"/>
          <w:szCs w:val="20"/>
          <w:lang w:eastAsia="en-US"/>
        </w:rPr>
        <w:t>резисторно-тиристорного</w:t>
      </w:r>
      <w:proofErr w:type="spellEnd"/>
      <w:r w:rsidRPr="003610FB">
        <w:rPr>
          <w:sz w:val="20"/>
          <w:szCs w:val="20"/>
          <w:lang w:eastAsia="en-US"/>
        </w:rPr>
        <w:t xml:space="preserve"> блока РТБ. В результате </w:t>
      </w:r>
      <w:proofErr w:type="spellStart"/>
      <w:r w:rsidRPr="003610FB">
        <w:rPr>
          <w:sz w:val="20"/>
          <w:szCs w:val="20"/>
          <w:lang w:eastAsia="en-US"/>
        </w:rPr>
        <w:t>нейтраль</w:t>
      </w:r>
      <w:proofErr w:type="spellEnd"/>
      <w:r w:rsidRPr="003610FB">
        <w:rPr>
          <w:sz w:val="20"/>
          <w:szCs w:val="20"/>
          <w:lang w:eastAsia="en-US"/>
        </w:rPr>
        <w:t xml:space="preserve"> силового трансформатора СТ будет заземлена через резистор R блока РТБ.</w:t>
      </w:r>
    </w:p>
    <w:p w14:paraId="07ABE69F" w14:textId="7DB35EE9" w:rsidR="00C95BD3" w:rsidRDefault="00C95BD3" w:rsidP="00C95BD3">
      <w:pPr>
        <w:ind w:firstLine="708"/>
        <w:jc w:val="center"/>
        <w:rPr>
          <w:lang w:eastAsia="en-US"/>
        </w:rPr>
      </w:pPr>
      <w:r w:rsidRPr="00C95BD3">
        <w:rPr>
          <w:noProof/>
          <w:sz w:val="20"/>
          <w:szCs w:val="20"/>
        </w:rPr>
        <w:lastRenderedPageBreak/>
        <w:drawing>
          <wp:inline distT="0" distB="0" distL="0" distR="0" wp14:anchorId="654D1112" wp14:editId="39D79E00">
            <wp:extent cx="3842127" cy="3609975"/>
            <wp:effectExtent l="0" t="0" r="6350" b="0"/>
            <wp:docPr id="3" name="Рисунок 3" descr="Фрагмент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Фрагмент4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86286" cy="3651466"/>
                    </a:xfrm>
                    <a:prstGeom prst="rect">
                      <a:avLst/>
                    </a:prstGeom>
                    <a:noFill/>
                    <a:ln>
                      <a:noFill/>
                    </a:ln>
                  </pic:spPr>
                </pic:pic>
              </a:graphicData>
            </a:graphic>
          </wp:inline>
        </w:drawing>
      </w:r>
    </w:p>
    <w:p w14:paraId="3042A30B" w14:textId="77777777" w:rsidR="00222307" w:rsidRDefault="00222307" w:rsidP="00054625">
      <w:pPr>
        <w:ind w:left="709"/>
        <w:jc w:val="center"/>
        <w:rPr>
          <w:b/>
          <w:sz w:val="20"/>
          <w:szCs w:val="20"/>
          <w:lang w:eastAsia="en-US"/>
        </w:rPr>
      </w:pPr>
    </w:p>
    <w:p w14:paraId="03EC4417" w14:textId="0B860A37" w:rsidR="001D313F" w:rsidRPr="003610FB" w:rsidRDefault="00C95BD3" w:rsidP="00054625">
      <w:pPr>
        <w:ind w:left="709"/>
        <w:jc w:val="center"/>
        <w:rPr>
          <w:sz w:val="20"/>
          <w:szCs w:val="20"/>
          <w:lang w:eastAsia="en-US"/>
        </w:rPr>
      </w:pPr>
      <w:r w:rsidRPr="003610FB">
        <w:rPr>
          <w:b/>
          <w:sz w:val="20"/>
          <w:szCs w:val="20"/>
          <w:lang w:eastAsia="en-US"/>
        </w:rPr>
        <w:t>Рисунок 1</w:t>
      </w:r>
      <w:r w:rsidR="003610FB" w:rsidRPr="003610FB">
        <w:rPr>
          <w:b/>
          <w:sz w:val="20"/>
          <w:szCs w:val="20"/>
          <w:lang w:eastAsia="en-US"/>
        </w:rPr>
        <w:t>.</w:t>
      </w:r>
      <w:r w:rsidRPr="003610FB">
        <w:rPr>
          <w:sz w:val="20"/>
          <w:szCs w:val="20"/>
          <w:lang w:eastAsia="en-US"/>
        </w:rPr>
        <w:t xml:space="preserve"> Структурная схема устройства защиты высоковольтного силового трансформатора</w:t>
      </w:r>
    </w:p>
    <w:p w14:paraId="3106615C" w14:textId="77777777" w:rsidR="00C95BD3" w:rsidRPr="001D6FA9" w:rsidRDefault="00C95BD3" w:rsidP="00C062BE">
      <w:pPr>
        <w:ind w:firstLine="708"/>
        <w:jc w:val="both"/>
        <w:rPr>
          <w:sz w:val="20"/>
          <w:szCs w:val="20"/>
          <w:lang w:eastAsia="en-US"/>
        </w:rPr>
      </w:pPr>
    </w:p>
    <w:p w14:paraId="3F094886" w14:textId="77777777" w:rsidR="00F524EF" w:rsidRPr="001D6FA9" w:rsidRDefault="00A511D9" w:rsidP="000C6BBC">
      <w:pPr>
        <w:widowControl w:val="0"/>
        <w:autoSpaceDE w:val="0"/>
        <w:autoSpaceDN w:val="0"/>
        <w:adjustRightInd w:val="0"/>
        <w:jc w:val="both"/>
        <w:rPr>
          <w:b/>
          <w:sz w:val="20"/>
          <w:szCs w:val="20"/>
        </w:rPr>
      </w:pPr>
      <w:r w:rsidRPr="001D6FA9">
        <w:rPr>
          <w:b/>
          <w:sz w:val="20"/>
          <w:szCs w:val="20"/>
        </w:rPr>
        <w:t>Требования к с</w:t>
      </w:r>
      <w:r w:rsidR="00BA6E65" w:rsidRPr="001D6FA9">
        <w:rPr>
          <w:b/>
          <w:sz w:val="20"/>
          <w:szCs w:val="20"/>
        </w:rPr>
        <w:t>иловы</w:t>
      </w:r>
      <w:r w:rsidRPr="001D6FA9">
        <w:rPr>
          <w:b/>
          <w:sz w:val="20"/>
          <w:szCs w:val="20"/>
        </w:rPr>
        <w:t>м</w:t>
      </w:r>
      <w:r w:rsidR="00BA6E65" w:rsidRPr="001D6FA9">
        <w:rPr>
          <w:b/>
          <w:sz w:val="20"/>
          <w:szCs w:val="20"/>
        </w:rPr>
        <w:t xml:space="preserve"> компонент</w:t>
      </w:r>
      <w:r w:rsidRPr="001D6FA9">
        <w:rPr>
          <w:b/>
          <w:sz w:val="20"/>
          <w:szCs w:val="20"/>
        </w:rPr>
        <w:t>ам</w:t>
      </w:r>
      <w:r w:rsidR="00BA6E65" w:rsidRPr="001D6FA9">
        <w:rPr>
          <w:b/>
          <w:sz w:val="20"/>
          <w:szCs w:val="20"/>
        </w:rPr>
        <w:t xml:space="preserve"> резистивно-</w:t>
      </w:r>
      <w:proofErr w:type="spellStart"/>
      <w:r w:rsidR="00BA6E65" w:rsidRPr="001D6FA9">
        <w:rPr>
          <w:b/>
          <w:sz w:val="20"/>
          <w:szCs w:val="20"/>
        </w:rPr>
        <w:t>тиристорной</w:t>
      </w:r>
      <w:proofErr w:type="spellEnd"/>
      <w:r w:rsidR="00BA6E65" w:rsidRPr="001D6FA9">
        <w:rPr>
          <w:b/>
          <w:sz w:val="20"/>
          <w:szCs w:val="20"/>
        </w:rPr>
        <w:t xml:space="preserve"> защиты</w:t>
      </w:r>
      <w:r w:rsidRPr="001D6FA9">
        <w:rPr>
          <w:sz w:val="20"/>
          <w:szCs w:val="20"/>
        </w:rPr>
        <w:t xml:space="preserve"> </w:t>
      </w:r>
      <w:r w:rsidRPr="001D6FA9">
        <w:rPr>
          <w:b/>
          <w:sz w:val="20"/>
          <w:szCs w:val="20"/>
        </w:rPr>
        <w:t>силового трансформатора</w:t>
      </w:r>
    </w:p>
    <w:p w14:paraId="4541435A" w14:textId="62300775" w:rsidR="00BA6E65" w:rsidRPr="003610FB" w:rsidRDefault="00BA6E65" w:rsidP="000C6BBC">
      <w:pPr>
        <w:widowControl w:val="0"/>
        <w:autoSpaceDE w:val="0"/>
        <w:autoSpaceDN w:val="0"/>
        <w:adjustRightInd w:val="0"/>
        <w:jc w:val="both"/>
        <w:rPr>
          <w:sz w:val="20"/>
          <w:szCs w:val="20"/>
        </w:rPr>
      </w:pPr>
      <w:r w:rsidRPr="001D6FA9">
        <w:rPr>
          <w:sz w:val="20"/>
          <w:szCs w:val="20"/>
        </w:rPr>
        <w:t>Силовая схема резистивно-</w:t>
      </w:r>
      <w:proofErr w:type="spellStart"/>
      <w:r w:rsidRPr="001D6FA9">
        <w:rPr>
          <w:sz w:val="20"/>
          <w:szCs w:val="20"/>
        </w:rPr>
        <w:t>тиристорной</w:t>
      </w:r>
      <w:proofErr w:type="spellEnd"/>
      <w:r w:rsidRPr="003610FB">
        <w:rPr>
          <w:sz w:val="20"/>
          <w:szCs w:val="20"/>
        </w:rPr>
        <w:t xml:space="preserve"> защиты</w:t>
      </w:r>
      <w:r w:rsidR="000C6BBC" w:rsidRPr="000C6BBC">
        <w:t xml:space="preserve"> </w:t>
      </w:r>
      <w:r w:rsidR="000C6BBC" w:rsidRPr="000C6BBC">
        <w:rPr>
          <w:sz w:val="20"/>
          <w:szCs w:val="20"/>
        </w:rPr>
        <w:t>высоковольтного силового трансформатора</w:t>
      </w:r>
      <w:r w:rsidRPr="000C6BBC">
        <w:rPr>
          <w:sz w:val="20"/>
          <w:szCs w:val="20"/>
        </w:rPr>
        <w:t>,</w:t>
      </w:r>
      <w:r w:rsidRPr="003610FB">
        <w:rPr>
          <w:sz w:val="20"/>
          <w:szCs w:val="20"/>
        </w:rPr>
        <w:t xml:space="preserve"> изображенная на рис</w:t>
      </w:r>
      <w:r w:rsidR="000C6BBC">
        <w:rPr>
          <w:sz w:val="20"/>
          <w:szCs w:val="20"/>
        </w:rPr>
        <w:t>унке</w:t>
      </w:r>
      <w:r w:rsidRPr="003610FB">
        <w:rPr>
          <w:sz w:val="20"/>
          <w:szCs w:val="20"/>
        </w:rPr>
        <w:t>1, будет обладать функциональной достаточностью, если силовые компоненты будут удовлетворять следующим требованиям:</w:t>
      </w:r>
    </w:p>
    <w:p w14:paraId="73C1A00B" w14:textId="77777777" w:rsidR="00BA6E65" w:rsidRPr="003610FB" w:rsidRDefault="00BA6E65" w:rsidP="000C6BBC">
      <w:pPr>
        <w:widowControl w:val="0"/>
        <w:autoSpaceDE w:val="0"/>
        <w:autoSpaceDN w:val="0"/>
        <w:adjustRightInd w:val="0"/>
        <w:jc w:val="both"/>
        <w:rPr>
          <w:sz w:val="20"/>
          <w:szCs w:val="20"/>
        </w:rPr>
      </w:pPr>
      <w:r w:rsidRPr="003610FB">
        <w:rPr>
          <w:sz w:val="20"/>
          <w:szCs w:val="20"/>
        </w:rPr>
        <w:t xml:space="preserve">- шунтирующий </w:t>
      </w:r>
      <w:proofErr w:type="spellStart"/>
      <w:r w:rsidRPr="003610FB">
        <w:rPr>
          <w:sz w:val="20"/>
          <w:szCs w:val="20"/>
        </w:rPr>
        <w:t>тиристорный</w:t>
      </w:r>
      <w:proofErr w:type="spellEnd"/>
      <w:r w:rsidRPr="003610FB">
        <w:rPr>
          <w:sz w:val="20"/>
          <w:szCs w:val="20"/>
        </w:rPr>
        <w:t xml:space="preserve"> ключ и измерительный преобразователь тока с датчиком Холла должны выдерживать протекание тока однофазного КЗ в течение 4÷5 периодов до отключения силового трансформатора действием релейной защиты;</w:t>
      </w:r>
    </w:p>
    <w:p w14:paraId="6625C9B8" w14:textId="77777777" w:rsidR="00BA6E65" w:rsidRPr="003610FB" w:rsidRDefault="00BA6E65" w:rsidP="000C6BBC">
      <w:pPr>
        <w:widowControl w:val="0"/>
        <w:autoSpaceDE w:val="0"/>
        <w:autoSpaceDN w:val="0"/>
        <w:adjustRightInd w:val="0"/>
        <w:jc w:val="both"/>
        <w:rPr>
          <w:sz w:val="20"/>
          <w:szCs w:val="20"/>
        </w:rPr>
      </w:pPr>
      <w:r w:rsidRPr="003610FB">
        <w:rPr>
          <w:sz w:val="20"/>
          <w:szCs w:val="20"/>
        </w:rPr>
        <w:t xml:space="preserve">- шунтирующий </w:t>
      </w:r>
      <w:proofErr w:type="spellStart"/>
      <w:r w:rsidRPr="003610FB">
        <w:rPr>
          <w:sz w:val="20"/>
          <w:szCs w:val="20"/>
        </w:rPr>
        <w:t>тиристорный</w:t>
      </w:r>
      <w:proofErr w:type="spellEnd"/>
      <w:r w:rsidRPr="003610FB">
        <w:rPr>
          <w:sz w:val="20"/>
          <w:szCs w:val="20"/>
        </w:rPr>
        <w:t xml:space="preserve"> ключ должен обеспечивать защиту заземляющего резистора от протекания тока однофазного КЗ и изоляцию </w:t>
      </w:r>
      <w:proofErr w:type="spellStart"/>
      <w:r w:rsidRPr="003610FB">
        <w:rPr>
          <w:sz w:val="20"/>
          <w:szCs w:val="20"/>
        </w:rPr>
        <w:t>нейтрали</w:t>
      </w:r>
      <w:proofErr w:type="spellEnd"/>
      <w:r w:rsidRPr="003610FB">
        <w:rPr>
          <w:sz w:val="20"/>
          <w:szCs w:val="20"/>
        </w:rPr>
        <w:t xml:space="preserve"> силового трансформатора от перенапряжения при возникновении однофазного КЗ путем принудительного включения без светового сигнала канала управления;</w:t>
      </w:r>
    </w:p>
    <w:p w14:paraId="52B87E45" w14:textId="77777777" w:rsidR="00BA6E65" w:rsidRPr="003610FB" w:rsidRDefault="00BA6E65" w:rsidP="000C6BBC">
      <w:pPr>
        <w:widowControl w:val="0"/>
        <w:autoSpaceDE w:val="0"/>
        <w:autoSpaceDN w:val="0"/>
        <w:adjustRightInd w:val="0"/>
        <w:jc w:val="both"/>
        <w:rPr>
          <w:sz w:val="20"/>
          <w:szCs w:val="20"/>
        </w:rPr>
      </w:pPr>
      <w:r w:rsidRPr="003610FB">
        <w:rPr>
          <w:sz w:val="20"/>
          <w:szCs w:val="20"/>
        </w:rPr>
        <w:t xml:space="preserve">- единственный вид </w:t>
      </w:r>
      <w:proofErr w:type="gramStart"/>
      <w:r w:rsidRPr="003610FB">
        <w:rPr>
          <w:sz w:val="20"/>
          <w:szCs w:val="20"/>
        </w:rPr>
        <w:t>отказа</w:t>
      </w:r>
      <w:proofErr w:type="gramEnd"/>
      <w:r w:rsidRPr="003610FB">
        <w:rPr>
          <w:sz w:val="20"/>
          <w:szCs w:val="20"/>
        </w:rPr>
        <w:t xml:space="preserve"> шунтирующего </w:t>
      </w:r>
      <w:proofErr w:type="spellStart"/>
      <w:r w:rsidRPr="003610FB">
        <w:rPr>
          <w:sz w:val="20"/>
          <w:szCs w:val="20"/>
        </w:rPr>
        <w:t>тиристорного</w:t>
      </w:r>
      <w:proofErr w:type="spellEnd"/>
      <w:r w:rsidRPr="003610FB">
        <w:rPr>
          <w:sz w:val="20"/>
          <w:szCs w:val="20"/>
        </w:rPr>
        <w:t xml:space="preserve"> ключа и заземляющего резистора – отказ типа «пробой», при котором система резистивно-</w:t>
      </w:r>
      <w:proofErr w:type="spellStart"/>
      <w:r w:rsidRPr="003610FB">
        <w:rPr>
          <w:sz w:val="20"/>
          <w:szCs w:val="20"/>
        </w:rPr>
        <w:t>тиристорного</w:t>
      </w:r>
      <w:proofErr w:type="spellEnd"/>
      <w:r w:rsidRPr="003610FB">
        <w:rPr>
          <w:sz w:val="20"/>
          <w:szCs w:val="20"/>
        </w:rPr>
        <w:t xml:space="preserve"> заземления теряет способность защиты силового трансформатора от воздействия ГИТ, но сохраняет способность поддерживать режим </w:t>
      </w:r>
      <w:proofErr w:type="spellStart"/>
      <w:r w:rsidRPr="003610FB">
        <w:rPr>
          <w:sz w:val="20"/>
          <w:szCs w:val="20"/>
        </w:rPr>
        <w:t>глухозаземленной</w:t>
      </w:r>
      <w:proofErr w:type="spellEnd"/>
      <w:r w:rsidRPr="003610FB">
        <w:rPr>
          <w:sz w:val="20"/>
          <w:szCs w:val="20"/>
        </w:rPr>
        <w:t xml:space="preserve"> </w:t>
      </w:r>
      <w:proofErr w:type="spellStart"/>
      <w:r w:rsidRPr="003610FB">
        <w:rPr>
          <w:sz w:val="20"/>
          <w:szCs w:val="20"/>
        </w:rPr>
        <w:t>нейтрали</w:t>
      </w:r>
      <w:proofErr w:type="spellEnd"/>
      <w:r w:rsidRPr="003610FB">
        <w:rPr>
          <w:sz w:val="20"/>
          <w:szCs w:val="20"/>
        </w:rPr>
        <w:t xml:space="preserve"> до планового отключения силового трансформатора.</w:t>
      </w:r>
    </w:p>
    <w:p w14:paraId="0AD10286" w14:textId="5914A428" w:rsidR="00BA6E65" w:rsidRPr="003610FB" w:rsidRDefault="00BA6E65" w:rsidP="000C6BBC">
      <w:pPr>
        <w:jc w:val="both"/>
        <w:rPr>
          <w:sz w:val="20"/>
          <w:szCs w:val="20"/>
        </w:rPr>
      </w:pPr>
      <w:r w:rsidRPr="003610FB">
        <w:rPr>
          <w:sz w:val="20"/>
          <w:szCs w:val="20"/>
        </w:rPr>
        <w:t>При выполнении перечисленных требований отпадает необходимость использования в составе резистивно-</w:t>
      </w:r>
      <w:proofErr w:type="spellStart"/>
      <w:r w:rsidRPr="003610FB">
        <w:rPr>
          <w:sz w:val="20"/>
          <w:szCs w:val="20"/>
        </w:rPr>
        <w:t>тиристорной</w:t>
      </w:r>
      <w:proofErr w:type="spellEnd"/>
      <w:r w:rsidRPr="003610FB">
        <w:rPr>
          <w:sz w:val="20"/>
          <w:szCs w:val="20"/>
        </w:rPr>
        <w:t xml:space="preserve"> защиты дополнительных коммутационных аппаратов и ограничителей перенапряжений. Полностью выполнить указанные требования позволит использование в составе шунтирующего </w:t>
      </w:r>
      <w:proofErr w:type="spellStart"/>
      <w:r w:rsidRPr="003610FB">
        <w:rPr>
          <w:sz w:val="20"/>
          <w:szCs w:val="20"/>
        </w:rPr>
        <w:t>тиристорного</w:t>
      </w:r>
      <w:proofErr w:type="spellEnd"/>
      <w:r w:rsidRPr="003610FB">
        <w:rPr>
          <w:sz w:val="20"/>
          <w:szCs w:val="20"/>
        </w:rPr>
        <w:t xml:space="preserve"> ключа </w:t>
      </w:r>
      <w:proofErr w:type="spellStart"/>
      <w:r w:rsidRPr="003610FB">
        <w:rPr>
          <w:sz w:val="20"/>
          <w:szCs w:val="20"/>
        </w:rPr>
        <w:t>фототиристоров</w:t>
      </w:r>
      <w:proofErr w:type="spellEnd"/>
      <w:r w:rsidRPr="003610FB">
        <w:rPr>
          <w:sz w:val="20"/>
          <w:szCs w:val="20"/>
        </w:rPr>
        <w:t xml:space="preserve"> типа ТФ производства ОАО «</w:t>
      </w:r>
      <w:proofErr w:type="spellStart"/>
      <w:r w:rsidRPr="003610FB">
        <w:rPr>
          <w:sz w:val="20"/>
          <w:szCs w:val="20"/>
        </w:rPr>
        <w:t>Электровыпрямитель</w:t>
      </w:r>
      <w:proofErr w:type="spellEnd"/>
      <w:r w:rsidRPr="003610FB">
        <w:rPr>
          <w:sz w:val="20"/>
          <w:szCs w:val="20"/>
        </w:rPr>
        <w:t>» [</w:t>
      </w:r>
      <w:r w:rsidR="00F86D1B" w:rsidRPr="003610FB">
        <w:rPr>
          <w:sz w:val="20"/>
          <w:szCs w:val="20"/>
        </w:rPr>
        <w:t>6</w:t>
      </w:r>
      <w:r w:rsidRPr="003610FB">
        <w:rPr>
          <w:sz w:val="20"/>
          <w:szCs w:val="20"/>
        </w:rPr>
        <w:t>], а в составе заземляющего резистора силовых кремниевых резисторов типа РК [</w:t>
      </w:r>
      <w:r w:rsidR="00F86D1B" w:rsidRPr="003610FB">
        <w:rPr>
          <w:sz w:val="20"/>
          <w:szCs w:val="20"/>
        </w:rPr>
        <w:t>7</w:t>
      </w:r>
      <w:r w:rsidRPr="003610FB">
        <w:rPr>
          <w:sz w:val="20"/>
          <w:szCs w:val="20"/>
        </w:rPr>
        <w:t xml:space="preserve">], основные параметры которых представлены в таблице 1 и таблице 2 соответственно. </w:t>
      </w:r>
    </w:p>
    <w:p w14:paraId="0F5A7FE9" w14:textId="77777777" w:rsidR="00BA6E65" w:rsidRPr="003610FB" w:rsidRDefault="00BA6E65" w:rsidP="000978D7">
      <w:pPr>
        <w:jc w:val="both"/>
        <w:rPr>
          <w:sz w:val="20"/>
          <w:szCs w:val="20"/>
        </w:rPr>
      </w:pPr>
    </w:p>
    <w:p w14:paraId="1DE9CE16" w14:textId="7F3BB05F" w:rsidR="00BA6E65" w:rsidRPr="003610FB" w:rsidRDefault="00BA6E65" w:rsidP="000C6BBC">
      <w:pPr>
        <w:widowControl w:val="0"/>
        <w:autoSpaceDE w:val="0"/>
        <w:autoSpaceDN w:val="0"/>
        <w:adjustRightInd w:val="0"/>
        <w:jc w:val="center"/>
        <w:rPr>
          <w:sz w:val="20"/>
          <w:szCs w:val="20"/>
        </w:rPr>
      </w:pPr>
      <w:r w:rsidRPr="003610FB">
        <w:rPr>
          <w:b/>
          <w:sz w:val="20"/>
          <w:szCs w:val="20"/>
        </w:rPr>
        <w:t>Таблица 1</w:t>
      </w:r>
      <w:r w:rsidR="003610FB">
        <w:rPr>
          <w:sz w:val="20"/>
          <w:szCs w:val="20"/>
        </w:rPr>
        <w:t>.</w:t>
      </w:r>
      <w:r w:rsidRPr="003610FB">
        <w:rPr>
          <w:sz w:val="20"/>
          <w:szCs w:val="20"/>
        </w:rPr>
        <w:t xml:space="preserve"> Основные характеристики </w:t>
      </w:r>
      <w:proofErr w:type="spellStart"/>
      <w:r w:rsidRPr="003610FB">
        <w:rPr>
          <w:sz w:val="20"/>
          <w:szCs w:val="20"/>
        </w:rPr>
        <w:t>фототиристоров</w:t>
      </w:r>
      <w:proofErr w:type="spellEnd"/>
      <w:r w:rsidRPr="003610FB">
        <w:rPr>
          <w:sz w:val="20"/>
          <w:szCs w:val="20"/>
        </w:rPr>
        <w:t xml:space="preserve"> [</w:t>
      </w:r>
      <w:r w:rsidR="00F86D1B" w:rsidRPr="003610FB">
        <w:rPr>
          <w:sz w:val="20"/>
          <w:szCs w:val="20"/>
        </w:rPr>
        <w:t>6</w:t>
      </w:r>
      <w:r w:rsidRPr="003610FB">
        <w:rPr>
          <w:sz w:val="20"/>
          <w:szCs w:val="20"/>
        </w:rPr>
        <w:t>]</w:t>
      </w:r>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7"/>
        <w:gridCol w:w="1629"/>
        <w:gridCol w:w="1752"/>
        <w:gridCol w:w="1723"/>
      </w:tblGrid>
      <w:tr w:rsidR="00BA6E65" w:rsidRPr="003610FB" w14:paraId="65BD6C48" w14:textId="77777777" w:rsidTr="00823ADD">
        <w:trPr>
          <w:jc w:val="center"/>
        </w:trPr>
        <w:tc>
          <w:tcPr>
            <w:tcW w:w="4108" w:type="dxa"/>
            <w:vMerge w:val="restart"/>
            <w:shd w:val="clear" w:color="auto" w:fill="auto"/>
            <w:vAlign w:val="center"/>
          </w:tcPr>
          <w:p w14:paraId="2D93DD90" w14:textId="77777777" w:rsidR="00BA6E65" w:rsidRPr="003610FB" w:rsidRDefault="00BA6E65" w:rsidP="00823ADD">
            <w:pPr>
              <w:widowControl w:val="0"/>
              <w:autoSpaceDE w:val="0"/>
              <w:autoSpaceDN w:val="0"/>
              <w:adjustRightInd w:val="0"/>
              <w:jc w:val="center"/>
              <w:rPr>
                <w:sz w:val="20"/>
                <w:szCs w:val="20"/>
              </w:rPr>
            </w:pPr>
            <w:r w:rsidRPr="003610FB">
              <w:rPr>
                <w:sz w:val="20"/>
                <w:szCs w:val="20"/>
              </w:rPr>
              <w:t>Параметр</w:t>
            </w:r>
          </w:p>
        </w:tc>
        <w:tc>
          <w:tcPr>
            <w:tcW w:w="5104" w:type="dxa"/>
            <w:gridSpan w:val="3"/>
            <w:shd w:val="clear" w:color="auto" w:fill="auto"/>
            <w:vAlign w:val="center"/>
          </w:tcPr>
          <w:p w14:paraId="1CA7A04D" w14:textId="77777777" w:rsidR="00BA6E65" w:rsidRPr="003610FB" w:rsidRDefault="00BA6E65" w:rsidP="00823ADD">
            <w:pPr>
              <w:widowControl w:val="0"/>
              <w:autoSpaceDE w:val="0"/>
              <w:autoSpaceDN w:val="0"/>
              <w:adjustRightInd w:val="0"/>
              <w:jc w:val="center"/>
              <w:rPr>
                <w:sz w:val="20"/>
                <w:szCs w:val="20"/>
              </w:rPr>
            </w:pPr>
            <w:r w:rsidRPr="003610FB">
              <w:rPr>
                <w:sz w:val="20"/>
                <w:szCs w:val="20"/>
              </w:rPr>
              <w:t>Значение</w:t>
            </w:r>
          </w:p>
        </w:tc>
      </w:tr>
      <w:tr w:rsidR="00BA6E65" w:rsidRPr="003610FB" w14:paraId="548DABF2" w14:textId="77777777" w:rsidTr="00823ADD">
        <w:trPr>
          <w:jc w:val="center"/>
        </w:trPr>
        <w:tc>
          <w:tcPr>
            <w:tcW w:w="4108" w:type="dxa"/>
            <w:vMerge/>
            <w:shd w:val="clear" w:color="auto" w:fill="auto"/>
            <w:vAlign w:val="center"/>
          </w:tcPr>
          <w:p w14:paraId="2EEFFCD8" w14:textId="77777777" w:rsidR="00BA6E65" w:rsidRPr="003610FB" w:rsidRDefault="00BA6E65" w:rsidP="00823ADD">
            <w:pPr>
              <w:widowControl w:val="0"/>
              <w:autoSpaceDE w:val="0"/>
              <w:autoSpaceDN w:val="0"/>
              <w:adjustRightInd w:val="0"/>
              <w:jc w:val="center"/>
              <w:rPr>
                <w:sz w:val="20"/>
                <w:szCs w:val="20"/>
              </w:rPr>
            </w:pPr>
          </w:p>
        </w:tc>
        <w:tc>
          <w:tcPr>
            <w:tcW w:w="1629" w:type="dxa"/>
            <w:shd w:val="clear" w:color="auto" w:fill="auto"/>
            <w:vAlign w:val="center"/>
          </w:tcPr>
          <w:p w14:paraId="47C3B985" w14:textId="77777777" w:rsidR="00BA6E65" w:rsidRPr="003610FB" w:rsidRDefault="00BA6E65" w:rsidP="00823ADD">
            <w:pPr>
              <w:widowControl w:val="0"/>
              <w:autoSpaceDE w:val="0"/>
              <w:autoSpaceDN w:val="0"/>
              <w:adjustRightInd w:val="0"/>
              <w:jc w:val="center"/>
              <w:rPr>
                <w:sz w:val="20"/>
                <w:szCs w:val="20"/>
              </w:rPr>
            </w:pPr>
            <w:r w:rsidRPr="003610FB">
              <w:rPr>
                <w:sz w:val="20"/>
                <w:szCs w:val="20"/>
              </w:rPr>
              <w:t>ТФ353-600</w:t>
            </w:r>
          </w:p>
        </w:tc>
        <w:tc>
          <w:tcPr>
            <w:tcW w:w="1752" w:type="dxa"/>
            <w:shd w:val="clear" w:color="auto" w:fill="auto"/>
            <w:vAlign w:val="center"/>
          </w:tcPr>
          <w:p w14:paraId="3AB0EEFF" w14:textId="77777777" w:rsidR="00BA6E65" w:rsidRPr="003610FB" w:rsidRDefault="00BA6E65" w:rsidP="00823ADD">
            <w:pPr>
              <w:widowControl w:val="0"/>
              <w:autoSpaceDE w:val="0"/>
              <w:autoSpaceDN w:val="0"/>
              <w:adjustRightInd w:val="0"/>
              <w:jc w:val="center"/>
              <w:rPr>
                <w:sz w:val="20"/>
                <w:szCs w:val="20"/>
              </w:rPr>
            </w:pPr>
            <w:r w:rsidRPr="003610FB">
              <w:rPr>
                <w:sz w:val="20"/>
                <w:szCs w:val="20"/>
              </w:rPr>
              <w:t>ТФ173-1000</w:t>
            </w:r>
          </w:p>
        </w:tc>
        <w:tc>
          <w:tcPr>
            <w:tcW w:w="1723" w:type="dxa"/>
            <w:shd w:val="clear" w:color="auto" w:fill="auto"/>
            <w:vAlign w:val="center"/>
          </w:tcPr>
          <w:p w14:paraId="30CD71A6" w14:textId="77777777" w:rsidR="00BA6E65" w:rsidRPr="003610FB" w:rsidRDefault="00BA6E65" w:rsidP="00823ADD">
            <w:pPr>
              <w:widowControl w:val="0"/>
              <w:autoSpaceDE w:val="0"/>
              <w:autoSpaceDN w:val="0"/>
              <w:adjustRightInd w:val="0"/>
              <w:jc w:val="center"/>
              <w:rPr>
                <w:sz w:val="20"/>
                <w:szCs w:val="20"/>
              </w:rPr>
            </w:pPr>
            <w:r w:rsidRPr="003610FB">
              <w:rPr>
                <w:sz w:val="20"/>
                <w:szCs w:val="20"/>
              </w:rPr>
              <w:t>ТФ183-2000</w:t>
            </w:r>
          </w:p>
        </w:tc>
      </w:tr>
      <w:tr w:rsidR="00BA6E65" w:rsidRPr="003610FB" w14:paraId="5A019F38" w14:textId="77777777" w:rsidTr="00823ADD">
        <w:trPr>
          <w:jc w:val="center"/>
        </w:trPr>
        <w:tc>
          <w:tcPr>
            <w:tcW w:w="4108" w:type="dxa"/>
            <w:shd w:val="clear" w:color="auto" w:fill="auto"/>
            <w:vAlign w:val="center"/>
          </w:tcPr>
          <w:p w14:paraId="5A0A370F" w14:textId="77777777" w:rsidR="00BA6E65" w:rsidRPr="003610FB" w:rsidRDefault="00BA6E65" w:rsidP="00823ADD">
            <w:pPr>
              <w:widowControl w:val="0"/>
              <w:autoSpaceDE w:val="0"/>
              <w:autoSpaceDN w:val="0"/>
              <w:adjustRightInd w:val="0"/>
              <w:jc w:val="both"/>
              <w:rPr>
                <w:sz w:val="20"/>
                <w:szCs w:val="20"/>
              </w:rPr>
            </w:pPr>
            <w:r w:rsidRPr="003610FB">
              <w:rPr>
                <w:sz w:val="20"/>
                <w:szCs w:val="20"/>
              </w:rPr>
              <w:t>Напряжение переключения, В</w:t>
            </w:r>
          </w:p>
        </w:tc>
        <w:tc>
          <w:tcPr>
            <w:tcW w:w="1629" w:type="dxa"/>
            <w:shd w:val="clear" w:color="auto" w:fill="auto"/>
            <w:vAlign w:val="center"/>
          </w:tcPr>
          <w:p w14:paraId="54EF139D" w14:textId="77777777" w:rsidR="00BA6E65" w:rsidRPr="003610FB" w:rsidRDefault="00BA6E65" w:rsidP="00823ADD">
            <w:pPr>
              <w:widowControl w:val="0"/>
              <w:autoSpaceDE w:val="0"/>
              <w:autoSpaceDN w:val="0"/>
              <w:adjustRightInd w:val="0"/>
              <w:jc w:val="center"/>
              <w:rPr>
                <w:sz w:val="20"/>
                <w:szCs w:val="20"/>
              </w:rPr>
            </w:pPr>
            <w:r w:rsidRPr="003610FB">
              <w:rPr>
                <w:sz w:val="20"/>
                <w:szCs w:val="20"/>
              </w:rPr>
              <w:t>6500</w:t>
            </w:r>
          </w:p>
        </w:tc>
        <w:tc>
          <w:tcPr>
            <w:tcW w:w="1752" w:type="dxa"/>
            <w:shd w:val="clear" w:color="auto" w:fill="auto"/>
            <w:vAlign w:val="center"/>
          </w:tcPr>
          <w:p w14:paraId="72D04DB7" w14:textId="77777777" w:rsidR="00BA6E65" w:rsidRPr="003610FB" w:rsidRDefault="00BA6E65" w:rsidP="00823ADD">
            <w:pPr>
              <w:widowControl w:val="0"/>
              <w:autoSpaceDE w:val="0"/>
              <w:autoSpaceDN w:val="0"/>
              <w:adjustRightInd w:val="0"/>
              <w:jc w:val="center"/>
              <w:rPr>
                <w:sz w:val="20"/>
                <w:szCs w:val="20"/>
              </w:rPr>
            </w:pPr>
            <w:r w:rsidRPr="003610FB">
              <w:rPr>
                <w:sz w:val="20"/>
                <w:szCs w:val="20"/>
              </w:rPr>
              <w:t>6500</w:t>
            </w:r>
          </w:p>
        </w:tc>
        <w:tc>
          <w:tcPr>
            <w:tcW w:w="1723" w:type="dxa"/>
            <w:shd w:val="clear" w:color="auto" w:fill="auto"/>
            <w:vAlign w:val="center"/>
          </w:tcPr>
          <w:p w14:paraId="3C4263F6" w14:textId="77777777" w:rsidR="00BA6E65" w:rsidRPr="003610FB" w:rsidRDefault="00BA6E65" w:rsidP="00823ADD">
            <w:pPr>
              <w:widowControl w:val="0"/>
              <w:autoSpaceDE w:val="0"/>
              <w:autoSpaceDN w:val="0"/>
              <w:adjustRightInd w:val="0"/>
              <w:jc w:val="center"/>
              <w:rPr>
                <w:sz w:val="20"/>
                <w:szCs w:val="20"/>
              </w:rPr>
            </w:pPr>
            <w:r w:rsidRPr="003610FB">
              <w:rPr>
                <w:sz w:val="20"/>
                <w:szCs w:val="20"/>
              </w:rPr>
              <w:t>6500</w:t>
            </w:r>
          </w:p>
        </w:tc>
      </w:tr>
      <w:tr w:rsidR="00BA6E65" w:rsidRPr="003610FB" w14:paraId="39FAE2C9" w14:textId="77777777" w:rsidTr="00823ADD">
        <w:trPr>
          <w:jc w:val="center"/>
        </w:trPr>
        <w:tc>
          <w:tcPr>
            <w:tcW w:w="4108" w:type="dxa"/>
            <w:shd w:val="clear" w:color="auto" w:fill="auto"/>
            <w:vAlign w:val="center"/>
          </w:tcPr>
          <w:p w14:paraId="0B4612CB" w14:textId="77777777" w:rsidR="00BA6E65" w:rsidRPr="003610FB" w:rsidRDefault="00BA6E65" w:rsidP="00823ADD">
            <w:pPr>
              <w:widowControl w:val="0"/>
              <w:autoSpaceDE w:val="0"/>
              <w:autoSpaceDN w:val="0"/>
              <w:adjustRightInd w:val="0"/>
              <w:jc w:val="both"/>
              <w:rPr>
                <w:sz w:val="20"/>
                <w:szCs w:val="20"/>
              </w:rPr>
            </w:pPr>
            <w:r w:rsidRPr="003610FB">
              <w:rPr>
                <w:sz w:val="20"/>
                <w:szCs w:val="20"/>
              </w:rPr>
              <w:t>Повторяющееся импульсное обратное напряжение, В</w:t>
            </w:r>
          </w:p>
        </w:tc>
        <w:tc>
          <w:tcPr>
            <w:tcW w:w="1629" w:type="dxa"/>
            <w:shd w:val="clear" w:color="auto" w:fill="auto"/>
            <w:vAlign w:val="center"/>
          </w:tcPr>
          <w:p w14:paraId="1A4BBB5B" w14:textId="77777777" w:rsidR="00BA6E65" w:rsidRPr="003610FB" w:rsidRDefault="00BA6E65" w:rsidP="00823ADD">
            <w:pPr>
              <w:widowControl w:val="0"/>
              <w:autoSpaceDE w:val="0"/>
              <w:autoSpaceDN w:val="0"/>
              <w:adjustRightInd w:val="0"/>
              <w:jc w:val="center"/>
              <w:rPr>
                <w:sz w:val="20"/>
                <w:szCs w:val="20"/>
              </w:rPr>
            </w:pPr>
            <w:r w:rsidRPr="003610FB">
              <w:rPr>
                <w:sz w:val="20"/>
                <w:szCs w:val="20"/>
              </w:rPr>
              <w:t>7000</w:t>
            </w:r>
          </w:p>
        </w:tc>
        <w:tc>
          <w:tcPr>
            <w:tcW w:w="1752" w:type="dxa"/>
            <w:shd w:val="clear" w:color="auto" w:fill="auto"/>
            <w:vAlign w:val="center"/>
          </w:tcPr>
          <w:p w14:paraId="665F6214" w14:textId="77777777" w:rsidR="00BA6E65" w:rsidRPr="003610FB" w:rsidRDefault="00BA6E65" w:rsidP="00823ADD">
            <w:pPr>
              <w:widowControl w:val="0"/>
              <w:autoSpaceDE w:val="0"/>
              <w:autoSpaceDN w:val="0"/>
              <w:adjustRightInd w:val="0"/>
              <w:jc w:val="center"/>
              <w:rPr>
                <w:sz w:val="20"/>
                <w:szCs w:val="20"/>
              </w:rPr>
            </w:pPr>
            <w:r w:rsidRPr="003610FB">
              <w:rPr>
                <w:sz w:val="20"/>
                <w:szCs w:val="20"/>
              </w:rPr>
              <w:t>7000</w:t>
            </w:r>
          </w:p>
        </w:tc>
        <w:tc>
          <w:tcPr>
            <w:tcW w:w="1723" w:type="dxa"/>
            <w:shd w:val="clear" w:color="auto" w:fill="auto"/>
            <w:vAlign w:val="center"/>
          </w:tcPr>
          <w:p w14:paraId="7442992A" w14:textId="77777777" w:rsidR="00BA6E65" w:rsidRPr="003610FB" w:rsidRDefault="00BA6E65" w:rsidP="00823ADD">
            <w:pPr>
              <w:widowControl w:val="0"/>
              <w:autoSpaceDE w:val="0"/>
              <w:autoSpaceDN w:val="0"/>
              <w:adjustRightInd w:val="0"/>
              <w:jc w:val="center"/>
              <w:rPr>
                <w:sz w:val="20"/>
                <w:szCs w:val="20"/>
              </w:rPr>
            </w:pPr>
            <w:r w:rsidRPr="003610FB">
              <w:rPr>
                <w:sz w:val="20"/>
                <w:szCs w:val="20"/>
              </w:rPr>
              <w:t>7000</w:t>
            </w:r>
          </w:p>
        </w:tc>
      </w:tr>
      <w:tr w:rsidR="00BA6E65" w:rsidRPr="003610FB" w14:paraId="1F4C3316" w14:textId="77777777" w:rsidTr="00823ADD">
        <w:trPr>
          <w:jc w:val="center"/>
        </w:trPr>
        <w:tc>
          <w:tcPr>
            <w:tcW w:w="4108" w:type="dxa"/>
            <w:shd w:val="clear" w:color="auto" w:fill="auto"/>
            <w:vAlign w:val="center"/>
          </w:tcPr>
          <w:p w14:paraId="68DAFCAD" w14:textId="77777777" w:rsidR="00BA6E65" w:rsidRPr="003610FB" w:rsidRDefault="00BA6E65" w:rsidP="00823ADD">
            <w:pPr>
              <w:widowControl w:val="0"/>
              <w:autoSpaceDE w:val="0"/>
              <w:autoSpaceDN w:val="0"/>
              <w:adjustRightInd w:val="0"/>
              <w:jc w:val="both"/>
              <w:rPr>
                <w:sz w:val="20"/>
                <w:szCs w:val="20"/>
              </w:rPr>
            </w:pPr>
            <w:r w:rsidRPr="003610FB">
              <w:rPr>
                <w:sz w:val="20"/>
                <w:szCs w:val="20"/>
              </w:rPr>
              <w:t>Максимально допустимый средний  ток в открытом состоянии при температуре корпуса 70</w:t>
            </w:r>
            <w:r w:rsidRPr="003610FB">
              <w:rPr>
                <w:sz w:val="20"/>
                <w:szCs w:val="20"/>
              </w:rPr>
              <w:sym w:font="Symbol" w:char="F0B0"/>
            </w:r>
            <w:r w:rsidRPr="003610FB">
              <w:rPr>
                <w:sz w:val="20"/>
                <w:szCs w:val="20"/>
              </w:rPr>
              <w:t>С, А</w:t>
            </w:r>
          </w:p>
        </w:tc>
        <w:tc>
          <w:tcPr>
            <w:tcW w:w="1629" w:type="dxa"/>
            <w:shd w:val="clear" w:color="auto" w:fill="auto"/>
            <w:vAlign w:val="center"/>
          </w:tcPr>
          <w:p w14:paraId="341C79E0" w14:textId="77777777" w:rsidR="00BA6E65" w:rsidRPr="003610FB" w:rsidRDefault="00BA6E65" w:rsidP="00823ADD">
            <w:pPr>
              <w:widowControl w:val="0"/>
              <w:autoSpaceDE w:val="0"/>
              <w:autoSpaceDN w:val="0"/>
              <w:adjustRightInd w:val="0"/>
              <w:jc w:val="center"/>
              <w:rPr>
                <w:sz w:val="20"/>
                <w:szCs w:val="20"/>
              </w:rPr>
            </w:pPr>
            <w:r w:rsidRPr="003610FB">
              <w:rPr>
                <w:sz w:val="20"/>
                <w:szCs w:val="20"/>
              </w:rPr>
              <w:t>773</w:t>
            </w:r>
          </w:p>
        </w:tc>
        <w:tc>
          <w:tcPr>
            <w:tcW w:w="1752" w:type="dxa"/>
            <w:shd w:val="clear" w:color="auto" w:fill="auto"/>
            <w:vAlign w:val="center"/>
          </w:tcPr>
          <w:p w14:paraId="437C57F9" w14:textId="77777777" w:rsidR="00BA6E65" w:rsidRPr="003610FB" w:rsidRDefault="00BA6E65" w:rsidP="00823ADD">
            <w:pPr>
              <w:widowControl w:val="0"/>
              <w:autoSpaceDE w:val="0"/>
              <w:autoSpaceDN w:val="0"/>
              <w:adjustRightInd w:val="0"/>
              <w:jc w:val="center"/>
              <w:rPr>
                <w:sz w:val="20"/>
                <w:szCs w:val="20"/>
              </w:rPr>
            </w:pPr>
            <w:r w:rsidRPr="003610FB">
              <w:rPr>
                <w:sz w:val="20"/>
                <w:szCs w:val="20"/>
              </w:rPr>
              <w:t>1406</w:t>
            </w:r>
          </w:p>
        </w:tc>
        <w:tc>
          <w:tcPr>
            <w:tcW w:w="1723" w:type="dxa"/>
            <w:shd w:val="clear" w:color="auto" w:fill="auto"/>
            <w:vAlign w:val="center"/>
          </w:tcPr>
          <w:p w14:paraId="1447BDE2" w14:textId="77777777" w:rsidR="00BA6E65" w:rsidRPr="003610FB" w:rsidRDefault="00BA6E65" w:rsidP="00823ADD">
            <w:pPr>
              <w:widowControl w:val="0"/>
              <w:autoSpaceDE w:val="0"/>
              <w:autoSpaceDN w:val="0"/>
              <w:adjustRightInd w:val="0"/>
              <w:jc w:val="center"/>
              <w:rPr>
                <w:sz w:val="20"/>
                <w:szCs w:val="20"/>
              </w:rPr>
            </w:pPr>
            <w:r w:rsidRPr="003610FB">
              <w:rPr>
                <w:sz w:val="20"/>
                <w:szCs w:val="20"/>
              </w:rPr>
              <w:t>2268</w:t>
            </w:r>
          </w:p>
        </w:tc>
      </w:tr>
      <w:tr w:rsidR="00BA6E65" w:rsidRPr="003610FB" w14:paraId="6E98BD73" w14:textId="77777777" w:rsidTr="00823ADD">
        <w:trPr>
          <w:jc w:val="center"/>
        </w:trPr>
        <w:tc>
          <w:tcPr>
            <w:tcW w:w="4108" w:type="dxa"/>
            <w:shd w:val="clear" w:color="auto" w:fill="auto"/>
            <w:vAlign w:val="center"/>
          </w:tcPr>
          <w:p w14:paraId="49509E5F" w14:textId="77777777" w:rsidR="00BA6E65" w:rsidRPr="003610FB" w:rsidRDefault="00BA6E65" w:rsidP="00823ADD">
            <w:pPr>
              <w:widowControl w:val="0"/>
              <w:autoSpaceDE w:val="0"/>
              <w:autoSpaceDN w:val="0"/>
              <w:adjustRightInd w:val="0"/>
              <w:jc w:val="both"/>
              <w:rPr>
                <w:sz w:val="20"/>
                <w:szCs w:val="20"/>
              </w:rPr>
            </w:pPr>
            <w:r w:rsidRPr="003610FB">
              <w:rPr>
                <w:sz w:val="20"/>
                <w:szCs w:val="20"/>
              </w:rPr>
              <w:t>Ударный ток в открытом состоянии, кА</w:t>
            </w:r>
          </w:p>
        </w:tc>
        <w:tc>
          <w:tcPr>
            <w:tcW w:w="1629" w:type="dxa"/>
            <w:shd w:val="clear" w:color="auto" w:fill="auto"/>
            <w:vAlign w:val="center"/>
          </w:tcPr>
          <w:p w14:paraId="34D87203" w14:textId="77777777" w:rsidR="00BA6E65" w:rsidRPr="003610FB" w:rsidRDefault="00BA6E65" w:rsidP="00823ADD">
            <w:pPr>
              <w:widowControl w:val="0"/>
              <w:autoSpaceDE w:val="0"/>
              <w:autoSpaceDN w:val="0"/>
              <w:adjustRightInd w:val="0"/>
              <w:jc w:val="center"/>
              <w:rPr>
                <w:sz w:val="20"/>
                <w:szCs w:val="20"/>
              </w:rPr>
            </w:pPr>
            <w:r w:rsidRPr="003610FB">
              <w:rPr>
                <w:sz w:val="20"/>
                <w:szCs w:val="20"/>
              </w:rPr>
              <w:t>12</w:t>
            </w:r>
          </w:p>
        </w:tc>
        <w:tc>
          <w:tcPr>
            <w:tcW w:w="1752" w:type="dxa"/>
            <w:shd w:val="clear" w:color="auto" w:fill="auto"/>
            <w:vAlign w:val="center"/>
          </w:tcPr>
          <w:p w14:paraId="6E9AAC36" w14:textId="77777777" w:rsidR="00BA6E65" w:rsidRPr="003610FB" w:rsidRDefault="00BA6E65" w:rsidP="00823ADD">
            <w:pPr>
              <w:widowControl w:val="0"/>
              <w:autoSpaceDE w:val="0"/>
              <w:autoSpaceDN w:val="0"/>
              <w:adjustRightInd w:val="0"/>
              <w:jc w:val="center"/>
              <w:rPr>
                <w:sz w:val="20"/>
                <w:szCs w:val="20"/>
              </w:rPr>
            </w:pPr>
            <w:r w:rsidRPr="003610FB">
              <w:rPr>
                <w:sz w:val="20"/>
                <w:szCs w:val="20"/>
              </w:rPr>
              <w:t>24</w:t>
            </w:r>
          </w:p>
        </w:tc>
        <w:tc>
          <w:tcPr>
            <w:tcW w:w="1723" w:type="dxa"/>
            <w:shd w:val="clear" w:color="auto" w:fill="auto"/>
            <w:vAlign w:val="center"/>
          </w:tcPr>
          <w:p w14:paraId="3ECD8CA0" w14:textId="77777777" w:rsidR="00BA6E65" w:rsidRPr="003610FB" w:rsidRDefault="00BA6E65" w:rsidP="00823ADD">
            <w:pPr>
              <w:widowControl w:val="0"/>
              <w:autoSpaceDE w:val="0"/>
              <w:autoSpaceDN w:val="0"/>
              <w:adjustRightInd w:val="0"/>
              <w:jc w:val="center"/>
              <w:rPr>
                <w:sz w:val="20"/>
                <w:szCs w:val="20"/>
              </w:rPr>
            </w:pPr>
            <w:r w:rsidRPr="003610FB">
              <w:rPr>
                <w:sz w:val="20"/>
                <w:szCs w:val="20"/>
              </w:rPr>
              <w:t>40</w:t>
            </w:r>
          </w:p>
        </w:tc>
      </w:tr>
      <w:tr w:rsidR="00BA6E65" w:rsidRPr="003610FB" w14:paraId="0F985622" w14:textId="77777777" w:rsidTr="00823ADD">
        <w:trPr>
          <w:jc w:val="center"/>
        </w:trPr>
        <w:tc>
          <w:tcPr>
            <w:tcW w:w="4108" w:type="dxa"/>
            <w:shd w:val="clear" w:color="auto" w:fill="auto"/>
            <w:vAlign w:val="center"/>
          </w:tcPr>
          <w:p w14:paraId="74A8D11F" w14:textId="77777777" w:rsidR="00BA6E65" w:rsidRPr="003610FB" w:rsidRDefault="00BA6E65" w:rsidP="00823ADD">
            <w:pPr>
              <w:widowControl w:val="0"/>
              <w:autoSpaceDE w:val="0"/>
              <w:autoSpaceDN w:val="0"/>
              <w:adjustRightInd w:val="0"/>
              <w:jc w:val="both"/>
              <w:rPr>
                <w:sz w:val="20"/>
                <w:szCs w:val="20"/>
              </w:rPr>
            </w:pPr>
            <w:r w:rsidRPr="003610FB">
              <w:rPr>
                <w:sz w:val="20"/>
                <w:szCs w:val="20"/>
              </w:rPr>
              <w:t>Оптическая мощность управления, мВт</w:t>
            </w:r>
          </w:p>
        </w:tc>
        <w:tc>
          <w:tcPr>
            <w:tcW w:w="1629" w:type="dxa"/>
            <w:shd w:val="clear" w:color="auto" w:fill="auto"/>
            <w:vAlign w:val="center"/>
          </w:tcPr>
          <w:p w14:paraId="0B6B8548" w14:textId="77777777" w:rsidR="00BA6E65" w:rsidRPr="003610FB" w:rsidRDefault="00BA6E65" w:rsidP="00823ADD">
            <w:pPr>
              <w:widowControl w:val="0"/>
              <w:autoSpaceDE w:val="0"/>
              <w:autoSpaceDN w:val="0"/>
              <w:adjustRightInd w:val="0"/>
              <w:jc w:val="center"/>
              <w:rPr>
                <w:sz w:val="20"/>
                <w:szCs w:val="20"/>
              </w:rPr>
            </w:pPr>
            <w:r w:rsidRPr="003610FB">
              <w:rPr>
                <w:sz w:val="20"/>
                <w:szCs w:val="20"/>
              </w:rPr>
              <w:t>40</w:t>
            </w:r>
          </w:p>
        </w:tc>
        <w:tc>
          <w:tcPr>
            <w:tcW w:w="1752" w:type="dxa"/>
            <w:shd w:val="clear" w:color="auto" w:fill="auto"/>
            <w:vAlign w:val="center"/>
          </w:tcPr>
          <w:p w14:paraId="36E4C7BD" w14:textId="77777777" w:rsidR="00BA6E65" w:rsidRPr="003610FB" w:rsidRDefault="00BA6E65" w:rsidP="00823ADD">
            <w:pPr>
              <w:widowControl w:val="0"/>
              <w:autoSpaceDE w:val="0"/>
              <w:autoSpaceDN w:val="0"/>
              <w:adjustRightInd w:val="0"/>
              <w:jc w:val="center"/>
              <w:rPr>
                <w:sz w:val="20"/>
                <w:szCs w:val="20"/>
              </w:rPr>
            </w:pPr>
            <w:r w:rsidRPr="003610FB">
              <w:rPr>
                <w:sz w:val="20"/>
                <w:szCs w:val="20"/>
              </w:rPr>
              <w:t>40</w:t>
            </w:r>
          </w:p>
        </w:tc>
        <w:tc>
          <w:tcPr>
            <w:tcW w:w="1723" w:type="dxa"/>
            <w:shd w:val="clear" w:color="auto" w:fill="auto"/>
            <w:vAlign w:val="center"/>
          </w:tcPr>
          <w:p w14:paraId="01CF7A6D" w14:textId="77777777" w:rsidR="00BA6E65" w:rsidRPr="003610FB" w:rsidRDefault="00BA6E65" w:rsidP="00823ADD">
            <w:pPr>
              <w:widowControl w:val="0"/>
              <w:autoSpaceDE w:val="0"/>
              <w:autoSpaceDN w:val="0"/>
              <w:adjustRightInd w:val="0"/>
              <w:jc w:val="center"/>
              <w:rPr>
                <w:sz w:val="20"/>
                <w:szCs w:val="20"/>
              </w:rPr>
            </w:pPr>
            <w:r w:rsidRPr="003610FB">
              <w:rPr>
                <w:sz w:val="20"/>
                <w:szCs w:val="20"/>
              </w:rPr>
              <w:t>40</w:t>
            </w:r>
          </w:p>
        </w:tc>
      </w:tr>
    </w:tbl>
    <w:p w14:paraId="73B6E002" w14:textId="0775A648" w:rsidR="00BA6E65" w:rsidRPr="003610FB" w:rsidRDefault="00BA6E65" w:rsidP="000C6BBC">
      <w:pPr>
        <w:widowControl w:val="0"/>
        <w:autoSpaceDE w:val="0"/>
        <w:autoSpaceDN w:val="0"/>
        <w:adjustRightInd w:val="0"/>
        <w:jc w:val="center"/>
        <w:rPr>
          <w:sz w:val="20"/>
          <w:szCs w:val="20"/>
        </w:rPr>
      </w:pPr>
      <w:r w:rsidRPr="003610FB">
        <w:rPr>
          <w:b/>
          <w:sz w:val="20"/>
          <w:szCs w:val="20"/>
        </w:rPr>
        <w:lastRenderedPageBreak/>
        <w:t>Таблица 2</w:t>
      </w:r>
      <w:r w:rsidR="003610FB" w:rsidRPr="003610FB">
        <w:rPr>
          <w:b/>
          <w:sz w:val="20"/>
          <w:szCs w:val="20"/>
        </w:rPr>
        <w:t>.</w:t>
      </w:r>
      <w:r w:rsidRPr="003610FB">
        <w:rPr>
          <w:sz w:val="20"/>
          <w:szCs w:val="20"/>
        </w:rPr>
        <w:t xml:space="preserve"> Основные характеристики силовых кремниевых резисторов [</w:t>
      </w:r>
      <w:r w:rsidR="00F86D1B" w:rsidRPr="003610FB">
        <w:rPr>
          <w:sz w:val="20"/>
          <w:szCs w:val="20"/>
        </w:rPr>
        <w:t>7</w:t>
      </w:r>
      <w:r w:rsidRPr="003610FB">
        <w:rPr>
          <w:sz w:val="20"/>
          <w:szCs w:val="20"/>
        </w:rPr>
        <w:t>]</w:t>
      </w: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3"/>
        <w:gridCol w:w="1626"/>
        <w:gridCol w:w="1751"/>
        <w:gridCol w:w="1724"/>
      </w:tblGrid>
      <w:tr w:rsidR="00BA6E65" w:rsidRPr="003610FB" w14:paraId="345E07E4" w14:textId="77777777" w:rsidTr="00823ADD">
        <w:trPr>
          <w:jc w:val="center"/>
        </w:trPr>
        <w:tc>
          <w:tcPr>
            <w:tcW w:w="4072" w:type="dxa"/>
            <w:vMerge w:val="restart"/>
            <w:shd w:val="clear" w:color="auto" w:fill="auto"/>
            <w:vAlign w:val="center"/>
          </w:tcPr>
          <w:p w14:paraId="49BCA5E3" w14:textId="77777777" w:rsidR="00BA6E65" w:rsidRPr="003610FB" w:rsidRDefault="00BA6E65" w:rsidP="00823ADD">
            <w:pPr>
              <w:widowControl w:val="0"/>
              <w:autoSpaceDE w:val="0"/>
              <w:autoSpaceDN w:val="0"/>
              <w:adjustRightInd w:val="0"/>
              <w:jc w:val="center"/>
              <w:rPr>
                <w:sz w:val="20"/>
                <w:szCs w:val="20"/>
              </w:rPr>
            </w:pPr>
            <w:r w:rsidRPr="003610FB">
              <w:rPr>
                <w:sz w:val="20"/>
                <w:szCs w:val="20"/>
              </w:rPr>
              <w:t>Параметр</w:t>
            </w:r>
          </w:p>
        </w:tc>
        <w:tc>
          <w:tcPr>
            <w:tcW w:w="5211" w:type="dxa"/>
            <w:gridSpan w:val="3"/>
            <w:shd w:val="clear" w:color="auto" w:fill="auto"/>
            <w:vAlign w:val="center"/>
          </w:tcPr>
          <w:p w14:paraId="6534C45D" w14:textId="77777777" w:rsidR="00BA6E65" w:rsidRPr="003610FB" w:rsidRDefault="00BA6E65" w:rsidP="00823ADD">
            <w:pPr>
              <w:widowControl w:val="0"/>
              <w:autoSpaceDE w:val="0"/>
              <w:autoSpaceDN w:val="0"/>
              <w:adjustRightInd w:val="0"/>
              <w:jc w:val="center"/>
              <w:rPr>
                <w:sz w:val="20"/>
                <w:szCs w:val="20"/>
              </w:rPr>
            </w:pPr>
            <w:r w:rsidRPr="003610FB">
              <w:rPr>
                <w:sz w:val="20"/>
                <w:szCs w:val="20"/>
              </w:rPr>
              <w:t>Значение</w:t>
            </w:r>
          </w:p>
        </w:tc>
      </w:tr>
      <w:tr w:rsidR="00BA6E65" w:rsidRPr="003610FB" w14:paraId="201B1050" w14:textId="77777777" w:rsidTr="00823ADD">
        <w:trPr>
          <w:jc w:val="center"/>
        </w:trPr>
        <w:tc>
          <w:tcPr>
            <w:tcW w:w="4072" w:type="dxa"/>
            <w:vMerge/>
            <w:shd w:val="clear" w:color="auto" w:fill="auto"/>
            <w:vAlign w:val="center"/>
          </w:tcPr>
          <w:p w14:paraId="16618315" w14:textId="77777777" w:rsidR="00BA6E65" w:rsidRPr="003610FB" w:rsidRDefault="00BA6E65" w:rsidP="00823ADD">
            <w:pPr>
              <w:widowControl w:val="0"/>
              <w:autoSpaceDE w:val="0"/>
              <w:autoSpaceDN w:val="0"/>
              <w:adjustRightInd w:val="0"/>
              <w:jc w:val="center"/>
              <w:rPr>
                <w:sz w:val="20"/>
                <w:szCs w:val="20"/>
              </w:rPr>
            </w:pPr>
          </w:p>
        </w:tc>
        <w:tc>
          <w:tcPr>
            <w:tcW w:w="1660" w:type="dxa"/>
            <w:shd w:val="clear" w:color="auto" w:fill="auto"/>
            <w:vAlign w:val="center"/>
          </w:tcPr>
          <w:p w14:paraId="35EE7A85" w14:textId="77777777" w:rsidR="00BA6E65" w:rsidRPr="003610FB" w:rsidRDefault="00BA6E65" w:rsidP="00823ADD">
            <w:pPr>
              <w:widowControl w:val="0"/>
              <w:autoSpaceDE w:val="0"/>
              <w:autoSpaceDN w:val="0"/>
              <w:adjustRightInd w:val="0"/>
              <w:jc w:val="center"/>
              <w:rPr>
                <w:sz w:val="20"/>
                <w:szCs w:val="20"/>
              </w:rPr>
            </w:pPr>
            <w:r w:rsidRPr="003610FB">
              <w:rPr>
                <w:sz w:val="20"/>
                <w:szCs w:val="20"/>
              </w:rPr>
              <w:t>РК143</w:t>
            </w:r>
          </w:p>
        </w:tc>
        <w:tc>
          <w:tcPr>
            <w:tcW w:w="1791" w:type="dxa"/>
            <w:shd w:val="clear" w:color="auto" w:fill="auto"/>
            <w:vAlign w:val="center"/>
          </w:tcPr>
          <w:p w14:paraId="18DF1B82" w14:textId="77777777" w:rsidR="00BA6E65" w:rsidRPr="003610FB" w:rsidRDefault="00BA6E65" w:rsidP="00823ADD">
            <w:pPr>
              <w:widowControl w:val="0"/>
              <w:autoSpaceDE w:val="0"/>
              <w:autoSpaceDN w:val="0"/>
              <w:adjustRightInd w:val="0"/>
              <w:jc w:val="center"/>
              <w:rPr>
                <w:sz w:val="20"/>
                <w:szCs w:val="20"/>
              </w:rPr>
            </w:pPr>
            <w:r w:rsidRPr="003610FB">
              <w:rPr>
                <w:sz w:val="20"/>
                <w:szCs w:val="20"/>
              </w:rPr>
              <w:t>РК173</w:t>
            </w:r>
          </w:p>
        </w:tc>
        <w:tc>
          <w:tcPr>
            <w:tcW w:w="1760" w:type="dxa"/>
            <w:shd w:val="clear" w:color="auto" w:fill="auto"/>
            <w:vAlign w:val="center"/>
          </w:tcPr>
          <w:p w14:paraId="422EFFE0" w14:textId="77777777" w:rsidR="00BA6E65" w:rsidRPr="003610FB" w:rsidRDefault="00BA6E65" w:rsidP="00823ADD">
            <w:pPr>
              <w:widowControl w:val="0"/>
              <w:autoSpaceDE w:val="0"/>
              <w:autoSpaceDN w:val="0"/>
              <w:adjustRightInd w:val="0"/>
              <w:jc w:val="center"/>
              <w:rPr>
                <w:sz w:val="20"/>
                <w:szCs w:val="20"/>
              </w:rPr>
            </w:pPr>
            <w:r w:rsidRPr="003610FB">
              <w:rPr>
                <w:sz w:val="20"/>
                <w:szCs w:val="20"/>
              </w:rPr>
              <w:t>РК273</w:t>
            </w:r>
          </w:p>
        </w:tc>
      </w:tr>
      <w:tr w:rsidR="00BA6E65" w:rsidRPr="003610FB" w14:paraId="0069D34F" w14:textId="77777777" w:rsidTr="00823ADD">
        <w:trPr>
          <w:jc w:val="center"/>
        </w:trPr>
        <w:tc>
          <w:tcPr>
            <w:tcW w:w="4072" w:type="dxa"/>
            <w:shd w:val="clear" w:color="auto" w:fill="auto"/>
            <w:vAlign w:val="center"/>
          </w:tcPr>
          <w:p w14:paraId="494DA208" w14:textId="77777777" w:rsidR="00BA6E65" w:rsidRPr="003610FB" w:rsidRDefault="00BA6E65" w:rsidP="00823ADD">
            <w:pPr>
              <w:widowControl w:val="0"/>
              <w:autoSpaceDE w:val="0"/>
              <w:autoSpaceDN w:val="0"/>
              <w:adjustRightInd w:val="0"/>
              <w:jc w:val="both"/>
              <w:rPr>
                <w:sz w:val="20"/>
                <w:szCs w:val="20"/>
              </w:rPr>
            </w:pPr>
            <w:r w:rsidRPr="003610FB">
              <w:rPr>
                <w:sz w:val="20"/>
                <w:szCs w:val="20"/>
              </w:rPr>
              <w:t>Диаметр корпуса, мм</w:t>
            </w:r>
          </w:p>
        </w:tc>
        <w:tc>
          <w:tcPr>
            <w:tcW w:w="1660" w:type="dxa"/>
            <w:shd w:val="clear" w:color="auto" w:fill="auto"/>
            <w:vAlign w:val="center"/>
          </w:tcPr>
          <w:p w14:paraId="424DE5FF" w14:textId="77777777" w:rsidR="00BA6E65" w:rsidRPr="003610FB" w:rsidRDefault="00BA6E65" w:rsidP="00823ADD">
            <w:pPr>
              <w:widowControl w:val="0"/>
              <w:autoSpaceDE w:val="0"/>
              <w:autoSpaceDN w:val="0"/>
              <w:adjustRightInd w:val="0"/>
              <w:jc w:val="center"/>
              <w:rPr>
                <w:sz w:val="20"/>
                <w:szCs w:val="20"/>
              </w:rPr>
            </w:pPr>
            <w:r w:rsidRPr="003610FB">
              <w:rPr>
                <w:sz w:val="20"/>
                <w:szCs w:val="20"/>
              </w:rPr>
              <w:t>58</w:t>
            </w:r>
          </w:p>
        </w:tc>
        <w:tc>
          <w:tcPr>
            <w:tcW w:w="1791" w:type="dxa"/>
            <w:shd w:val="clear" w:color="auto" w:fill="auto"/>
            <w:vAlign w:val="center"/>
          </w:tcPr>
          <w:p w14:paraId="417D405A" w14:textId="77777777" w:rsidR="00BA6E65" w:rsidRPr="003610FB" w:rsidRDefault="00BA6E65" w:rsidP="00823ADD">
            <w:pPr>
              <w:widowControl w:val="0"/>
              <w:autoSpaceDE w:val="0"/>
              <w:autoSpaceDN w:val="0"/>
              <w:adjustRightInd w:val="0"/>
              <w:jc w:val="center"/>
              <w:rPr>
                <w:sz w:val="20"/>
                <w:szCs w:val="20"/>
              </w:rPr>
            </w:pPr>
            <w:r w:rsidRPr="003610FB">
              <w:rPr>
                <w:sz w:val="20"/>
                <w:szCs w:val="20"/>
              </w:rPr>
              <w:t>105</w:t>
            </w:r>
          </w:p>
        </w:tc>
        <w:tc>
          <w:tcPr>
            <w:tcW w:w="1760" w:type="dxa"/>
            <w:shd w:val="clear" w:color="auto" w:fill="auto"/>
            <w:vAlign w:val="center"/>
          </w:tcPr>
          <w:p w14:paraId="7D1A98EE" w14:textId="77777777" w:rsidR="00BA6E65" w:rsidRPr="003610FB" w:rsidRDefault="00BA6E65" w:rsidP="00823ADD">
            <w:pPr>
              <w:widowControl w:val="0"/>
              <w:autoSpaceDE w:val="0"/>
              <w:autoSpaceDN w:val="0"/>
              <w:adjustRightInd w:val="0"/>
              <w:jc w:val="center"/>
              <w:rPr>
                <w:sz w:val="20"/>
                <w:szCs w:val="20"/>
              </w:rPr>
            </w:pPr>
            <w:r w:rsidRPr="003610FB">
              <w:rPr>
                <w:sz w:val="20"/>
                <w:szCs w:val="20"/>
              </w:rPr>
              <w:t>105</w:t>
            </w:r>
          </w:p>
        </w:tc>
      </w:tr>
      <w:tr w:rsidR="00BA6E65" w:rsidRPr="003610FB" w14:paraId="03940A30" w14:textId="77777777" w:rsidTr="00823ADD">
        <w:trPr>
          <w:jc w:val="center"/>
        </w:trPr>
        <w:tc>
          <w:tcPr>
            <w:tcW w:w="4072" w:type="dxa"/>
            <w:shd w:val="clear" w:color="auto" w:fill="auto"/>
            <w:vAlign w:val="center"/>
          </w:tcPr>
          <w:p w14:paraId="76DC2017" w14:textId="77777777" w:rsidR="00BA6E65" w:rsidRPr="003610FB" w:rsidRDefault="00BA6E65" w:rsidP="00823ADD">
            <w:pPr>
              <w:widowControl w:val="0"/>
              <w:autoSpaceDE w:val="0"/>
              <w:autoSpaceDN w:val="0"/>
              <w:adjustRightInd w:val="0"/>
              <w:jc w:val="both"/>
              <w:rPr>
                <w:sz w:val="20"/>
                <w:szCs w:val="20"/>
              </w:rPr>
            </w:pPr>
            <w:r w:rsidRPr="003610FB">
              <w:rPr>
                <w:sz w:val="20"/>
                <w:szCs w:val="20"/>
              </w:rPr>
              <w:t>Диапазон номинальных сопротивлений, Ом</w:t>
            </w:r>
          </w:p>
        </w:tc>
        <w:tc>
          <w:tcPr>
            <w:tcW w:w="1660" w:type="dxa"/>
            <w:shd w:val="clear" w:color="auto" w:fill="auto"/>
            <w:vAlign w:val="center"/>
          </w:tcPr>
          <w:p w14:paraId="75C7FA81" w14:textId="77777777" w:rsidR="00BA6E65" w:rsidRPr="003610FB" w:rsidRDefault="00BA6E65" w:rsidP="00823ADD">
            <w:pPr>
              <w:widowControl w:val="0"/>
              <w:autoSpaceDE w:val="0"/>
              <w:autoSpaceDN w:val="0"/>
              <w:adjustRightInd w:val="0"/>
              <w:jc w:val="center"/>
              <w:rPr>
                <w:sz w:val="20"/>
                <w:szCs w:val="20"/>
              </w:rPr>
            </w:pPr>
            <w:r w:rsidRPr="003610FB">
              <w:rPr>
                <w:sz w:val="20"/>
                <w:szCs w:val="20"/>
              </w:rPr>
              <w:t>0,39÷24</w:t>
            </w:r>
          </w:p>
        </w:tc>
        <w:tc>
          <w:tcPr>
            <w:tcW w:w="1791" w:type="dxa"/>
            <w:shd w:val="clear" w:color="auto" w:fill="auto"/>
            <w:vAlign w:val="center"/>
          </w:tcPr>
          <w:p w14:paraId="13E22186" w14:textId="77777777" w:rsidR="00BA6E65" w:rsidRPr="003610FB" w:rsidRDefault="00BA6E65" w:rsidP="00823ADD">
            <w:pPr>
              <w:widowControl w:val="0"/>
              <w:autoSpaceDE w:val="0"/>
              <w:autoSpaceDN w:val="0"/>
              <w:adjustRightInd w:val="0"/>
              <w:jc w:val="center"/>
              <w:rPr>
                <w:sz w:val="20"/>
                <w:szCs w:val="20"/>
              </w:rPr>
            </w:pPr>
            <w:r w:rsidRPr="003610FB">
              <w:rPr>
                <w:sz w:val="20"/>
                <w:szCs w:val="20"/>
              </w:rPr>
              <w:t>0,15÷56</w:t>
            </w:r>
          </w:p>
        </w:tc>
        <w:tc>
          <w:tcPr>
            <w:tcW w:w="1760" w:type="dxa"/>
            <w:shd w:val="clear" w:color="auto" w:fill="auto"/>
            <w:vAlign w:val="center"/>
          </w:tcPr>
          <w:p w14:paraId="652CD27E" w14:textId="77777777" w:rsidR="00BA6E65" w:rsidRPr="003610FB" w:rsidRDefault="00BA6E65" w:rsidP="00823ADD">
            <w:pPr>
              <w:widowControl w:val="0"/>
              <w:autoSpaceDE w:val="0"/>
              <w:autoSpaceDN w:val="0"/>
              <w:adjustRightInd w:val="0"/>
              <w:jc w:val="center"/>
              <w:rPr>
                <w:sz w:val="20"/>
                <w:szCs w:val="20"/>
              </w:rPr>
            </w:pPr>
            <w:r w:rsidRPr="003610FB">
              <w:rPr>
                <w:sz w:val="20"/>
                <w:szCs w:val="20"/>
              </w:rPr>
              <w:t>0,22÷1,6</w:t>
            </w:r>
          </w:p>
        </w:tc>
      </w:tr>
      <w:tr w:rsidR="00BA6E65" w:rsidRPr="003610FB" w14:paraId="4F9B4484" w14:textId="77777777" w:rsidTr="00823ADD">
        <w:trPr>
          <w:jc w:val="center"/>
        </w:trPr>
        <w:tc>
          <w:tcPr>
            <w:tcW w:w="4072" w:type="dxa"/>
            <w:shd w:val="clear" w:color="auto" w:fill="auto"/>
            <w:vAlign w:val="center"/>
          </w:tcPr>
          <w:p w14:paraId="615781D1" w14:textId="77777777" w:rsidR="00BA6E65" w:rsidRPr="003610FB" w:rsidRDefault="00BA6E65" w:rsidP="00823ADD">
            <w:pPr>
              <w:widowControl w:val="0"/>
              <w:autoSpaceDE w:val="0"/>
              <w:autoSpaceDN w:val="0"/>
              <w:adjustRightInd w:val="0"/>
              <w:jc w:val="both"/>
              <w:rPr>
                <w:sz w:val="20"/>
                <w:szCs w:val="20"/>
              </w:rPr>
            </w:pPr>
            <w:r w:rsidRPr="003610FB">
              <w:rPr>
                <w:sz w:val="20"/>
                <w:szCs w:val="20"/>
              </w:rPr>
              <w:t>Отклонение от номинального сопротивления, %</w:t>
            </w:r>
          </w:p>
        </w:tc>
        <w:tc>
          <w:tcPr>
            <w:tcW w:w="1660" w:type="dxa"/>
            <w:shd w:val="clear" w:color="auto" w:fill="auto"/>
            <w:vAlign w:val="center"/>
          </w:tcPr>
          <w:p w14:paraId="751C1979" w14:textId="77777777" w:rsidR="00BA6E65" w:rsidRPr="003610FB" w:rsidRDefault="00BA6E65" w:rsidP="00823ADD">
            <w:pPr>
              <w:widowControl w:val="0"/>
              <w:autoSpaceDE w:val="0"/>
              <w:autoSpaceDN w:val="0"/>
              <w:adjustRightInd w:val="0"/>
              <w:jc w:val="center"/>
              <w:rPr>
                <w:sz w:val="20"/>
                <w:szCs w:val="20"/>
              </w:rPr>
            </w:pPr>
            <w:r w:rsidRPr="003610FB">
              <w:rPr>
                <w:sz w:val="20"/>
                <w:szCs w:val="20"/>
              </w:rPr>
              <w:t>±5</w:t>
            </w:r>
          </w:p>
        </w:tc>
        <w:tc>
          <w:tcPr>
            <w:tcW w:w="1791" w:type="dxa"/>
            <w:shd w:val="clear" w:color="auto" w:fill="auto"/>
            <w:vAlign w:val="center"/>
          </w:tcPr>
          <w:p w14:paraId="520A1C09" w14:textId="77777777" w:rsidR="00BA6E65" w:rsidRPr="003610FB" w:rsidRDefault="00BA6E65" w:rsidP="00823ADD">
            <w:pPr>
              <w:widowControl w:val="0"/>
              <w:autoSpaceDE w:val="0"/>
              <w:autoSpaceDN w:val="0"/>
              <w:adjustRightInd w:val="0"/>
              <w:jc w:val="center"/>
              <w:rPr>
                <w:sz w:val="20"/>
                <w:szCs w:val="20"/>
              </w:rPr>
            </w:pPr>
            <w:r w:rsidRPr="003610FB">
              <w:rPr>
                <w:sz w:val="20"/>
                <w:szCs w:val="20"/>
              </w:rPr>
              <w:t>±5</w:t>
            </w:r>
          </w:p>
        </w:tc>
        <w:tc>
          <w:tcPr>
            <w:tcW w:w="1760" w:type="dxa"/>
            <w:shd w:val="clear" w:color="auto" w:fill="auto"/>
            <w:vAlign w:val="center"/>
          </w:tcPr>
          <w:p w14:paraId="68E26075" w14:textId="77777777" w:rsidR="00BA6E65" w:rsidRPr="003610FB" w:rsidRDefault="00BA6E65" w:rsidP="00823ADD">
            <w:pPr>
              <w:widowControl w:val="0"/>
              <w:autoSpaceDE w:val="0"/>
              <w:autoSpaceDN w:val="0"/>
              <w:adjustRightInd w:val="0"/>
              <w:jc w:val="center"/>
              <w:rPr>
                <w:sz w:val="20"/>
                <w:szCs w:val="20"/>
              </w:rPr>
            </w:pPr>
            <w:r w:rsidRPr="003610FB">
              <w:rPr>
                <w:sz w:val="20"/>
                <w:szCs w:val="20"/>
              </w:rPr>
              <w:t>±5</w:t>
            </w:r>
          </w:p>
        </w:tc>
      </w:tr>
      <w:tr w:rsidR="00BA6E65" w:rsidRPr="003610FB" w14:paraId="383694C3" w14:textId="77777777" w:rsidTr="00823ADD">
        <w:trPr>
          <w:jc w:val="center"/>
        </w:trPr>
        <w:tc>
          <w:tcPr>
            <w:tcW w:w="4072" w:type="dxa"/>
            <w:shd w:val="clear" w:color="auto" w:fill="auto"/>
            <w:vAlign w:val="center"/>
          </w:tcPr>
          <w:p w14:paraId="12A057E5" w14:textId="77777777" w:rsidR="00BA6E65" w:rsidRPr="003610FB" w:rsidRDefault="00BA6E65" w:rsidP="00823ADD">
            <w:pPr>
              <w:widowControl w:val="0"/>
              <w:autoSpaceDE w:val="0"/>
              <w:autoSpaceDN w:val="0"/>
              <w:adjustRightInd w:val="0"/>
              <w:jc w:val="both"/>
              <w:rPr>
                <w:sz w:val="20"/>
                <w:szCs w:val="20"/>
              </w:rPr>
            </w:pPr>
            <w:r w:rsidRPr="003610FB">
              <w:rPr>
                <w:sz w:val="20"/>
                <w:szCs w:val="20"/>
              </w:rPr>
              <w:t>Номинальная мощность рассеяния, Вт</w:t>
            </w:r>
          </w:p>
        </w:tc>
        <w:tc>
          <w:tcPr>
            <w:tcW w:w="1660" w:type="dxa"/>
            <w:shd w:val="clear" w:color="auto" w:fill="auto"/>
            <w:vAlign w:val="center"/>
          </w:tcPr>
          <w:p w14:paraId="2C589ACC" w14:textId="77777777" w:rsidR="00BA6E65" w:rsidRPr="003610FB" w:rsidRDefault="00BA6E65" w:rsidP="00823ADD">
            <w:pPr>
              <w:widowControl w:val="0"/>
              <w:autoSpaceDE w:val="0"/>
              <w:autoSpaceDN w:val="0"/>
              <w:adjustRightInd w:val="0"/>
              <w:jc w:val="center"/>
              <w:rPr>
                <w:sz w:val="20"/>
                <w:szCs w:val="20"/>
              </w:rPr>
            </w:pPr>
            <w:r w:rsidRPr="003610FB">
              <w:rPr>
                <w:sz w:val="20"/>
                <w:szCs w:val="20"/>
              </w:rPr>
              <w:t>1000</w:t>
            </w:r>
          </w:p>
        </w:tc>
        <w:tc>
          <w:tcPr>
            <w:tcW w:w="1791" w:type="dxa"/>
            <w:shd w:val="clear" w:color="auto" w:fill="auto"/>
            <w:vAlign w:val="center"/>
          </w:tcPr>
          <w:p w14:paraId="5E375D33" w14:textId="77777777" w:rsidR="00BA6E65" w:rsidRPr="003610FB" w:rsidRDefault="00BA6E65" w:rsidP="00823ADD">
            <w:pPr>
              <w:widowControl w:val="0"/>
              <w:autoSpaceDE w:val="0"/>
              <w:autoSpaceDN w:val="0"/>
              <w:adjustRightInd w:val="0"/>
              <w:jc w:val="center"/>
              <w:rPr>
                <w:sz w:val="20"/>
                <w:szCs w:val="20"/>
              </w:rPr>
            </w:pPr>
            <w:r w:rsidRPr="003610FB">
              <w:rPr>
                <w:sz w:val="20"/>
                <w:szCs w:val="20"/>
              </w:rPr>
              <w:t>4000</w:t>
            </w:r>
          </w:p>
        </w:tc>
        <w:tc>
          <w:tcPr>
            <w:tcW w:w="1760" w:type="dxa"/>
            <w:shd w:val="clear" w:color="auto" w:fill="auto"/>
            <w:vAlign w:val="center"/>
          </w:tcPr>
          <w:p w14:paraId="0CFF463F" w14:textId="77777777" w:rsidR="00BA6E65" w:rsidRPr="003610FB" w:rsidRDefault="00BA6E65" w:rsidP="00823ADD">
            <w:pPr>
              <w:widowControl w:val="0"/>
              <w:autoSpaceDE w:val="0"/>
              <w:autoSpaceDN w:val="0"/>
              <w:adjustRightInd w:val="0"/>
              <w:jc w:val="center"/>
              <w:rPr>
                <w:sz w:val="20"/>
                <w:szCs w:val="20"/>
              </w:rPr>
            </w:pPr>
            <w:r w:rsidRPr="003610FB">
              <w:rPr>
                <w:sz w:val="20"/>
                <w:szCs w:val="20"/>
              </w:rPr>
              <w:t>6000</w:t>
            </w:r>
          </w:p>
        </w:tc>
      </w:tr>
      <w:tr w:rsidR="00BA6E65" w:rsidRPr="003610FB" w14:paraId="205C1E30" w14:textId="77777777" w:rsidTr="00823ADD">
        <w:trPr>
          <w:jc w:val="center"/>
        </w:trPr>
        <w:tc>
          <w:tcPr>
            <w:tcW w:w="4072" w:type="dxa"/>
            <w:shd w:val="clear" w:color="auto" w:fill="auto"/>
            <w:vAlign w:val="center"/>
          </w:tcPr>
          <w:p w14:paraId="20F5C752" w14:textId="77777777" w:rsidR="00BA6E65" w:rsidRPr="003610FB" w:rsidRDefault="00BA6E65" w:rsidP="00823ADD">
            <w:pPr>
              <w:widowControl w:val="0"/>
              <w:autoSpaceDE w:val="0"/>
              <w:autoSpaceDN w:val="0"/>
              <w:adjustRightInd w:val="0"/>
              <w:jc w:val="both"/>
              <w:rPr>
                <w:sz w:val="20"/>
                <w:szCs w:val="20"/>
              </w:rPr>
            </w:pPr>
            <w:r w:rsidRPr="003610FB">
              <w:rPr>
                <w:sz w:val="20"/>
                <w:szCs w:val="20"/>
              </w:rPr>
              <w:t>Тип воздушного охладителя</w:t>
            </w:r>
          </w:p>
        </w:tc>
        <w:tc>
          <w:tcPr>
            <w:tcW w:w="1660" w:type="dxa"/>
            <w:shd w:val="clear" w:color="auto" w:fill="auto"/>
            <w:vAlign w:val="center"/>
          </w:tcPr>
          <w:p w14:paraId="0FEC5D66" w14:textId="77777777" w:rsidR="00BA6E65" w:rsidRPr="003610FB" w:rsidRDefault="00BA6E65" w:rsidP="00823ADD">
            <w:pPr>
              <w:widowControl w:val="0"/>
              <w:autoSpaceDE w:val="0"/>
              <w:autoSpaceDN w:val="0"/>
              <w:adjustRightInd w:val="0"/>
              <w:jc w:val="center"/>
              <w:rPr>
                <w:sz w:val="20"/>
                <w:szCs w:val="20"/>
              </w:rPr>
            </w:pPr>
            <w:r w:rsidRPr="003610FB">
              <w:rPr>
                <w:sz w:val="20"/>
                <w:szCs w:val="20"/>
              </w:rPr>
              <w:t>0143-150</w:t>
            </w:r>
          </w:p>
        </w:tc>
        <w:tc>
          <w:tcPr>
            <w:tcW w:w="1791" w:type="dxa"/>
            <w:shd w:val="clear" w:color="auto" w:fill="auto"/>
            <w:vAlign w:val="center"/>
          </w:tcPr>
          <w:p w14:paraId="79C7C5E7" w14:textId="77777777" w:rsidR="00BA6E65" w:rsidRPr="003610FB" w:rsidRDefault="00BA6E65" w:rsidP="00823ADD">
            <w:pPr>
              <w:widowControl w:val="0"/>
              <w:autoSpaceDE w:val="0"/>
              <w:autoSpaceDN w:val="0"/>
              <w:adjustRightInd w:val="0"/>
              <w:jc w:val="center"/>
              <w:rPr>
                <w:sz w:val="20"/>
                <w:szCs w:val="20"/>
              </w:rPr>
            </w:pPr>
            <w:r w:rsidRPr="003610FB">
              <w:rPr>
                <w:sz w:val="20"/>
                <w:szCs w:val="20"/>
              </w:rPr>
              <w:t>0173-150</w:t>
            </w:r>
          </w:p>
        </w:tc>
        <w:tc>
          <w:tcPr>
            <w:tcW w:w="1760" w:type="dxa"/>
            <w:shd w:val="clear" w:color="auto" w:fill="auto"/>
            <w:vAlign w:val="center"/>
          </w:tcPr>
          <w:p w14:paraId="00002370" w14:textId="77777777" w:rsidR="00BA6E65" w:rsidRPr="003610FB" w:rsidRDefault="00BA6E65" w:rsidP="00823ADD">
            <w:pPr>
              <w:widowControl w:val="0"/>
              <w:autoSpaceDE w:val="0"/>
              <w:autoSpaceDN w:val="0"/>
              <w:adjustRightInd w:val="0"/>
              <w:jc w:val="center"/>
              <w:rPr>
                <w:sz w:val="20"/>
                <w:szCs w:val="20"/>
              </w:rPr>
            </w:pPr>
            <w:r w:rsidRPr="003610FB">
              <w:rPr>
                <w:sz w:val="20"/>
                <w:szCs w:val="20"/>
              </w:rPr>
              <w:t>0173-150</w:t>
            </w:r>
          </w:p>
        </w:tc>
      </w:tr>
    </w:tbl>
    <w:p w14:paraId="08FEC825" w14:textId="77777777" w:rsidR="00BA6E65" w:rsidRPr="003610FB" w:rsidRDefault="00BA6E65" w:rsidP="000978D7">
      <w:pPr>
        <w:jc w:val="both"/>
        <w:rPr>
          <w:sz w:val="20"/>
          <w:szCs w:val="20"/>
        </w:rPr>
      </w:pPr>
    </w:p>
    <w:p w14:paraId="3150F741" w14:textId="6709C044" w:rsidR="00BA6E65" w:rsidRPr="001D6FA9" w:rsidRDefault="00BA6E65" w:rsidP="000C6BBC">
      <w:pPr>
        <w:widowControl w:val="0"/>
        <w:autoSpaceDE w:val="0"/>
        <w:autoSpaceDN w:val="0"/>
        <w:adjustRightInd w:val="0"/>
        <w:jc w:val="both"/>
        <w:rPr>
          <w:sz w:val="20"/>
          <w:szCs w:val="20"/>
        </w:rPr>
      </w:pPr>
      <w:r w:rsidRPr="003610FB">
        <w:rPr>
          <w:sz w:val="20"/>
          <w:szCs w:val="20"/>
        </w:rPr>
        <w:t>Выбранные приборы имеют таблеточную конструкцию</w:t>
      </w:r>
      <w:r w:rsidR="001B3B2D" w:rsidRPr="003610FB">
        <w:rPr>
          <w:sz w:val="20"/>
          <w:szCs w:val="20"/>
        </w:rPr>
        <w:t>,</w:t>
      </w:r>
      <w:r w:rsidRPr="003610FB">
        <w:rPr>
          <w:sz w:val="20"/>
          <w:szCs w:val="20"/>
        </w:rPr>
        <w:t xml:space="preserve"> наиболее удобную для изготовления высоковольтных конструкций на любое необходимое</w:t>
      </w:r>
      <w:r w:rsidR="000F5172" w:rsidRPr="003610FB">
        <w:rPr>
          <w:sz w:val="20"/>
          <w:szCs w:val="20"/>
        </w:rPr>
        <w:t xml:space="preserve"> для реализации системы резистивно-</w:t>
      </w:r>
      <w:proofErr w:type="spellStart"/>
      <w:r w:rsidR="000F5172" w:rsidRPr="003610FB">
        <w:rPr>
          <w:sz w:val="20"/>
          <w:szCs w:val="20"/>
        </w:rPr>
        <w:t>тиристорного</w:t>
      </w:r>
      <w:proofErr w:type="spellEnd"/>
      <w:r w:rsidR="000F5172" w:rsidRPr="003610FB">
        <w:rPr>
          <w:sz w:val="20"/>
          <w:szCs w:val="20"/>
        </w:rPr>
        <w:t xml:space="preserve"> заземления</w:t>
      </w:r>
      <w:r w:rsidRPr="003610FB">
        <w:rPr>
          <w:sz w:val="20"/>
          <w:szCs w:val="20"/>
        </w:rPr>
        <w:t xml:space="preserve"> </w:t>
      </w:r>
      <w:r w:rsidRPr="001D6FA9">
        <w:rPr>
          <w:sz w:val="20"/>
          <w:szCs w:val="20"/>
        </w:rPr>
        <w:t xml:space="preserve">напряжение путем последовательного соединения нескольких приборов. </w:t>
      </w:r>
    </w:p>
    <w:p w14:paraId="76B6C435" w14:textId="77777777" w:rsidR="000C6BBC" w:rsidRPr="001D6FA9" w:rsidRDefault="000C6BBC" w:rsidP="000C6BBC">
      <w:pPr>
        <w:widowControl w:val="0"/>
        <w:autoSpaceDE w:val="0"/>
        <w:autoSpaceDN w:val="0"/>
        <w:adjustRightInd w:val="0"/>
        <w:jc w:val="both"/>
        <w:rPr>
          <w:b/>
          <w:bCs/>
          <w:sz w:val="20"/>
          <w:szCs w:val="20"/>
        </w:rPr>
      </w:pPr>
    </w:p>
    <w:p w14:paraId="30535E8C" w14:textId="79AC57F7" w:rsidR="00046791" w:rsidRPr="001D6FA9" w:rsidRDefault="003F115A" w:rsidP="000C6BBC">
      <w:pPr>
        <w:widowControl w:val="0"/>
        <w:autoSpaceDE w:val="0"/>
        <w:autoSpaceDN w:val="0"/>
        <w:adjustRightInd w:val="0"/>
        <w:jc w:val="both"/>
        <w:rPr>
          <w:b/>
          <w:bCs/>
          <w:sz w:val="20"/>
          <w:szCs w:val="20"/>
        </w:rPr>
      </w:pPr>
      <w:r w:rsidRPr="001D6FA9">
        <w:rPr>
          <w:b/>
          <w:bCs/>
          <w:sz w:val="20"/>
          <w:szCs w:val="20"/>
        </w:rPr>
        <w:t xml:space="preserve">Рекомендации </w:t>
      </w:r>
      <w:r w:rsidR="001D6FA9">
        <w:rPr>
          <w:b/>
          <w:bCs/>
          <w:sz w:val="20"/>
          <w:szCs w:val="20"/>
        </w:rPr>
        <w:t>по</w:t>
      </w:r>
      <w:r w:rsidRPr="001D6FA9">
        <w:rPr>
          <w:b/>
          <w:bCs/>
          <w:sz w:val="20"/>
          <w:szCs w:val="20"/>
        </w:rPr>
        <w:t xml:space="preserve"> размещению </w:t>
      </w:r>
      <w:r w:rsidR="00046791" w:rsidRPr="001D6FA9">
        <w:rPr>
          <w:b/>
          <w:bCs/>
          <w:sz w:val="20"/>
          <w:szCs w:val="20"/>
        </w:rPr>
        <w:t xml:space="preserve">устройств защиты </w:t>
      </w:r>
      <w:r w:rsidRPr="001D6FA9">
        <w:rPr>
          <w:b/>
          <w:bCs/>
          <w:sz w:val="20"/>
          <w:szCs w:val="20"/>
        </w:rPr>
        <w:t>силовых трансформаторов</w:t>
      </w:r>
      <w:r w:rsidR="00487937" w:rsidRPr="001D6FA9">
        <w:rPr>
          <w:b/>
          <w:bCs/>
          <w:sz w:val="20"/>
          <w:szCs w:val="20"/>
        </w:rPr>
        <w:t xml:space="preserve"> в высоковольтной электрической сети</w:t>
      </w:r>
    </w:p>
    <w:p w14:paraId="1C656F76" w14:textId="6021C9C4" w:rsidR="00046791" w:rsidRPr="003F115A" w:rsidRDefault="003F115A" w:rsidP="000C6BBC">
      <w:pPr>
        <w:widowControl w:val="0"/>
        <w:autoSpaceDE w:val="0"/>
        <w:autoSpaceDN w:val="0"/>
        <w:adjustRightInd w:val="0"/>
        <w:jc w:val="both"/>
        <w:rPr>
          <w:bCs/>
          <w:sz w:val="20"/>
          <w:szCs w:val="20"/>
        </w:rPr>
      </w:pPr>
      <w:r>
        <w:rPr>
          <w:bCs/>
          <w:sz w:val="20"/>
          <w:szCs w:val="20"/>
        </w:rPr>
        <w:t xml:space="preserve">При выборе места установки устройств защиты силовых трансформаторов для ограничения ГИТ </w:t>
      </w:r>
      <w:r w:rsidRPr="003F115A">
        <w:rPr>
          <w:bCs/>
          <w:sz w:val="20"/>
          <w:szCs w:val="20"/>
        </w:rPr>
        <w:t>до уровня, не вызывающего насыщение магнитной системы</w:t>
      </w:r>
      <w:r>
        <w:rPr>
          <w:bCs/>
          <w:sz w:val="20"/>
          <w:szCs w:val="20"/>
        </w:rPr>
        <w:t xml:space="preserve"> рекомендуется:</w:t>
      </w:r>
    </w:p>
    <w:p w14:paraId="7EED9173" w14:textId="4D4A8E47" w:rsidR="003F115A" w:rsidRPr="003F115A" w:rsidRDefault="003F115A" w:rsidP="003F115A">
      <w:pPr>
        <w:widowControl w:val="0"/>
        <w:autoSpaceDE w:val="0"/>
        <w:autoSpaceDN w:val="0"/>
        <w:adjustRightInd w:val="0"/>
        <w:jc w:val="both"/>
        <w:rPr>
          <w:bCs/>
          <w:sz w:val="20"/>
          <w:szCs w:val="20"/>
        </w:rPr>
      </w:pPr>
      <w:r>
        <w:rPr>
          <w:bCs/>
          <w:sz w:val="20"/>
          <w:szCs w:val="20"/>
        </w:rPr>
        <w:t>-</w:t>
      </w:r>
      <w:r w:rsidRPr="003F115A">
        <w:rPr>
          <w:bCs/>
          <w:sz w:val="20"/>
          <w:szCs w:val="20"/>
        </w:rPr>
        <w:t xml:space="preserve"> </w:t>
      </w:r>
      <w:r>
        <w:rPr>
          <w:bCs/>
          <w:sz w:val="20"/>
          <w:szCs w:val="20"/>
        </w:rPr>
        <w:t>о</w:t>
      </w:r>
      <w:r w:rsidRPr="003F115A">
        <w:rPr>
          <w:bCs/>
          <w:sz w:val="20"/>
          <w:szCs w:val="20"/>
        </w:rPr>
        <w:t xml:space="preserve">пределить критические узлы </w:t>
      </w:r>
      <w:r>
        <w:rPr>
          <w:bCs/>
          <w:sz w:val="20"/>
          <w:szCs w:val="20"/>
        </w:rPr>
        <w:t xml:space="preserve">высоковольтной </w:t>
      </w:r>
      <w:r w:rsidRPr="003F115A">
        <w:rPr>
          <w:bCs/>
          <w:sz w:val="20"/>
          <w:szCs w:val="20"/>
        </w:rPr>
        <w:t xml:space="preserve">электрической сети, в которых ожидаются наиболее высокие уровни ГИТ, превышающие амплитуду тока холостого хода силовых трансформаторов. Предварительный выбор </w:t>
      </w:r>
      <w:r>
        <w:rPr>
          <w:bCs/>
          <w:sz w:val="20"/>
          <w:szCs w:val="20"/>
        </w:rPr>
        <w:t xml:space="preserve">места установки устройства защиты </w:t>
      </w:r>
      <w:r w:rsidRPr="003F115A">
        <w:rPr>
          <w:bCs/>
          <w:sz w:val="20"/>
          <w:szCs w:val="20"/>
        </w:rPr>
        <w:t xml:space="preserve">осуществляется по топологическому критерию – тупиковые подстанции, узловые и проходные подстанции с различной географической ориентацией примыкающих </w:t>
      </w:r>
      <w:r w:rsidR="00487937">
        <w:rPr>
          <w:bCs/>
          <w:sz w:val="20"/>
          <w:szCs w:val="20"/>
        </w:rPr>
        <w:t xml:space="preserve">воздушных </w:t>
      </w:r>
      <w:r w:rsidRPr="003F115A">
        <w:rPr>
          <w:bCs/>
          <w:sz w:val="20"/>
          <w:szCs w:val="20"/>
        </w:rPr>
        <w:t>линий электропередачи. Уточненный выбор – по результатам имитационного моделирования или аналитического анализа работы электрической сети под воздействием ГИТ</w:t>
      </w:r>
      <w:r>
        <w:rPr>
          <w:bCs/>
          <w:sz w:val="20"/>
          <w:szCs w:val="20"/>
        </w:rPr>
        <w:t>;</w:t>
      </w:r>
    </w:p>
    <w:p w14:paraId="2AAEFB83" w14:textId="7EC1F595" w:rsidR="003F115A" w:rsidRPr="003F115A" w:rsidRDefault="00054625" w:rsidP="003F115A">
      <w:pPr>
        <w:widowControl w:val="0"/>
        <w:autoSpaceDE w:val="0"/>
        <w:autoSpaceDN w:val="0"/>
        <w:adjustRightInd w:val="0"/>
        <w:jc w:val="both"/>
        <w:rPr>
          <w:bCs/>
          <w:sz w:val="20"/>
          <w:szCs w:val="20"/>
        </w:rPr>
      </w:pPr>
      <w:r>
        <w:rPr>
          <w:bCs/>
          <w:sz w:val="20"/>
          <w:szCs w:val="20"/>
        </w:rPr>
        <w:t>-</w:t>
      </w:r>
      <w:r w:rsidR="003F115A" w:rsidRPr="003F115A">
        <w:rPr>
          <w:bCs/>
          <w:sz w:val="20"/>
          <w:szCs w:val="20"/>
        </w:rPr>
        <w:t xml:space="preserve"> </w:t>
      </w:r>
      <w:r>
        <w:rPr>
          <w:bCs/>
          <w:sz w:val="20"/>
          <w:szCs w:val="20"/>
        </w:rPr>
        <w:t>р</w:t>
      </w:r>
      <w:r w:rsidR="003F115A" w:rsidRPr="003F115A">
        <w:rPr>
          <w:bCs/>
          <w:sz w:val="20"/>
          <w:szCs w:val="20"/>
        </w:rPr>
        <w:t xml:space="preserve">азмещать </w:t>
      </w:r>
      <w:r>
        <w:rPr>
          <w:bCs/>
          <w:sz w:val="20"/>
          <w:szCs w:val="20"/>
        </w:rPr>
        <w:t xml:space="preserve">устройства защиты </w:t>
      </w:r>
      <w:r w:rsidR="003F115A" w:rsidRPr="003F115A">
        <w:rPr>
          <w:bCs/>
          <w:sz w:val="20"/>
          <w:szCs w:val="20"/>
        </w:rPr>
        <w:t>в критических узлах электрической сети, в которых установлены трехфазные силовые трансформаторы с бронестержневой магнитной системой или трехфазные группы однофазных силовых трансформаторов</w:t>
      </w:r>
      <w:r>
        <w:rPr>
          <w:bCs/>
          <w:sz w:val="20"/>
          <w:szCs w:val="20"/>
        </w:rPr>
        <w:t xml:space="preserve"> </w:t>
      </w:r>
      <w:r w:rsidRPr="00054625">
        <w:rPr>
          <w:bCs/>
          <w:sz w:val="20"/>
          <w:szCs w:val="20"/>
        </w:rPr>
        <w:t>номинальной мощностью не менее 80÷100 МВА и номинальным напряжением 220 кВ и выше</w:t>
      </w:r>
      <w:r>
        <w:rPr>
          <w:bCs/>
          <w:sz w:val="20"/>
          <w:szCs w:val="20"/>
        </w:rPr>
        <w:t xml:space="preserve">, </w:t>
      </w:r>
      <w:r w:rsidR="003F115A" w:rsidRPr="003F115A">
        <w:rPr>
          <w:bCs/>
          <w:sz w:val="20"/>
          <w:szCs w:val="20"/>
        </w:rPr>
        <w:t xml:space="preserve">насыщение </w:t>
      </w:r>
      <w:r>
        <w:rPr>
          <w:bCs/>
          <w:sz w:val="20"/>
          <w:szCs w:val="20"/>
        </w:rPr>
        <w:t xml:space="preserve">которых </w:t>
      </w:r>
      <w:r w:rsidR="003F115A" w:rsidRPr="003F115A">
        <w:rPr>
          <w:bCs/>
          <w:sz w:val="20"/>
          <w:szCs w:val="20"/>
        </w:rPr>
        <w:t>происходит при величине ГИТ, соизмеримой с амплитудой тока холостого хода</w:t>
      </w:r>
      <w:r>
        <w:rPr>
          <w:bCs/>
          <w:sz w:val="20"/>
          <w:szCs w:val="20"/>
        </w:rPr>
        <w:t>;</w:t>
      </w:r>
    </w:p>
    <w:p w14:paraId="15F38B43" w14:textId="67023CF7" w:rsidR="003F115A" w:rsidRPr="003F115A" w:rsidRDefault="00054625" w:rsidP="003F115A">
      <w:pPr>
        <w:widowControl w:val="0"/>
        <w:autoSpaceDE w:val="0"/>
        <w:autoSpaceDN w:val="0"/>
        <w:adjustRightInd w:val="0"/>
        <w:jc w:val="both"/>
        <w:rPr>
          <w:bCs/>
          <w:sz w:val="20"/>
          <w:szCs w:val="20"/>
        </w:rPr>
      </w:pPr>
      <w:r>
        <w:rPr>
          <w:bCs/>
          <w:sz w:val="20"/>
          <w:szCs w:val="20"/>
        </w:rPr>
        <w:t>-</w:t>
      </w:r>
      <w:r w:rsidR="003F115A" w:rsidRPr="003F115A">
        <w:rPr>
          <w:bCs/>
          <w:sz w:val="20"/>
          <w:szCs w:val="20"/>
        </w:rPr>
        <w:t xml:space="preserve"> </w:t>
      </w:r>
      <w:r>
        <w:rPr>
          <w:bCs/>
          <w:sz w:val="20"/>
          <w:szCs w:val="20"/>
        </w:rPr>
        <w:t>д</w:t>
      </w:r>
      <w:r w:rsidR="003F115A" w:rsidRPr="003F115A">
        <w:rPr>
          <w:bCs/>
          <w:sz w:val="20"/>
          <w:szCs w:val="20"/>
        </w:rPr>
        <w:t xml:space="preserve">ля оперативного принятия диспетчерского решения по снижению нагрузки силового трансформатора на </w:t>
      </w:r>
      <w:proofErr w:type="spellStart"/>
      <w:r w:rsidR="003F115A" w:rsidRPr="003F115A">
        <w:rPr>
          <w:bCs/>
          <w:sz w:val="20"/>
          <w:szCs w:val="20"/>
        </w:rPr>
        <w:t>общеподстанционном</w:t>
      </w:r>
      <w:proofErr w:type="spellEnd"/>
      <w:r w:rsidR="003F115A" w:rsidRPr="003F115A">
        <w:rPr>
          <w:bCs/>
          <w:sz w:val="20"/>
          <w:szCs w:val="20"/>
        </w:rPr>
        <w:t xml:space="preserve"> пункте управления необходимо обеспечить визуальную индикацию «светофорного» вида: «зеленый» – ГИТ отсутствует, «желтый» </w:t>
      </w:r>
      <w:r w:rsidR="00487937" w:rsidRPr="003F115A">
        <w:rPr>
          <w:bCs/>
          <w:sz w:val="20"/>
          <w:szCs w:val="20"/>
        </w:rPr>
        <w:t>–</w:t>
      </w:r>
      <w:r w:rsidR="003F115A" w:rsidRPr="003F115A">
        <w:rPr>
          <w:bCs/>
          <w:sz w:val="20"/>
          <w:szCs w:val="20"/>
        </w:rPr>
        <w:t xml:space="preserve"> ГИТ недостаточно большой для насыщения магнитной системы; «красный» </w:t>
      </w:r>
      <w:r w:rsidR="00487937" w:rsidRPr="003F115A">
        <w:rPr>
          <w:bCs/>
          <w:sz w:val="20"/>
          <w:szCs w:val="20"/>
        </w:rPr>
        <w:t>–</w:t>
      </w:r>
      <w:r w:rsidR="00487937">
        <w:rPr>
          <w:bCs/>
          <w:sz w:val="20"/>
          <w:szCs w:val="20"/>
        </w:rPr>
        <w:t xml:space="preserve"> </w:t>
      </w:r>
      <w:r w:rsidR="003F115A" w:rsidRPr="003F115A">
        <w:rPr>
          <w:bCs/>
          <w:sz w:val="20"/>
          <w:szCs w:val="20"/>
        </w:rPr>
        <w:t>ГИТ вызывает насыщение магнитной системы (на рис</w:t>
      </w:r>
      <w:r>
        <w:rPr>
          <w:bCs/>
          <w:sz w:val="20"/>
          <w:szCs w:val="20"/>
        </w:rPr>
        <w:t>унке</w:t>
      </w:r>
      <w:r w:rsidR="003F115A" w:rsidRPr="003F115A">
        <w:rPr>
          <w:bCs/>
          <w:sz w:val="20"/>
          <w:szCs w:val="20"/>
        </w:rPr>
        <w:t xml:space="preserve"> 1 элементы визуальной индикации не показаны)</w:t>
      </w:r>
      <w:r>
        <w:rPr>
          <w:bCs/>
          <w:sz w:val="20"/>
          <w:szCs w:val="20"/>
        </w:rPr>
        <w:t>;</w:t>
      </w:r>
    </w:p>
    <w:p w14:paraId="726960E1" w14:textId="7309D627" w:rsidR="00046791" w:rsidRPr="001D6FA9" w:rsidRDefault="00054625" w:rsidP="003F115A">
      <w:pPr>
        <w:widowControl w:val="0"/>
        <w:autoSpaceDE w:val="0"/>
        <w:autoSpaceDN w:val="0"/>
        <w:adjustRightInd w:val="0"/>
        <w:jc w:val="both"/>
        <w:rPr>
          <w:bCs/>
          <w:sz w:val="20"/>
          <w:szCs w:val="20"/>
        </w:rPr>
      </w:pPr>
      <w:r>
        <w:rPr>
          <w:bCs/>
          <w:sz w:val="20"/>
          <w:szCs w:val="20"/>
        </w:rPr>
        <w:t>-</w:t>
      </w:r>
      <w:r w:rsidR="003F115A" w:rsidRPr="003F115A">
        <w:rPr>
          <w:bCs/>
          <w:sz w:val="20"/>
          <w:szCs w:val="20"/>
        </w:rPr>
        <w:t xml:space="preserve"> </w:t>
      </w:r>
      <w:r>
        <w:rPr>
          <w:bCs/>
          <w:sz w:val="20"/>
          <w:szCs w:val="20"/>
        </w:rPr>
        <w:t>д</w:t>
      </w:r>
      <w:r w:rsidR="003F115A" w:rsidRPr="003F115A">
        <w:rPr>
          <w:bCs/>
          <w:sz w:val="20"/>
          <w:szCs w:val="20"/>
        </w:rPr>
        <w:t xml:space="preserve">ля оценки угрозы критического снижения напряжения в узлах электрической сети должна обеспечиваться возможность передачи информации о величине ГИТ и состоянии магнитной системы силовых </w:t>
      </w:r>
      <w:r w:rsidR="003F115A" w:rsidRPr="001D6FA9">
        <w:rPr>
          <w:bCs/>
          <w:sz w:val="20"/>
          <w:szCs w:val="20"/>
        </w:rPr>
        <w:t xml:space="preserve">трансформаторов в диспетчерский </w:t>
      </w:r>
      <w:r w:rsidRPr="001D6FA9">
        <w:rPr>
          <w:bCs/>
          <w:sz w:val="20"/>
          <w:szCs w:val="20"/>
        </w:rPr>
        <w:t>пункт</w:t>
      </w:r>
      <w:r w:rsidR="00487937" w:rsidRPr="001D6FA9">
        <w:rPr>
          <w:bCs/>
          <w:sz w:val="20"/>
          <w:szCs w:val="20"/>
        </w:rPr>
        <w:t xml:space="preserve"> через интерфейс токовая петля</w:t>
      </w:r>
      <w:r w:rsidR="003F115A" w:rsidRPr="001D6FA9">
        <w:rPr>
          <w:bCs/>
          <w:sz w:val="20"/>
          <w:szCs w:val="20"/>
        </w:rPr>
        <w:t>.</w:t>
      </w:r>
    </w:p>
    <w:p w14:paraId="094F1FA5" w14:textId="77777777" w:rsidR="003F115A" w:rsidRPr="001D6FA9" w:rsidRDefault="003F115A" w:rsidP="000C6BBC">
      <w:pPr>
        <w:widowControl w:val="0"/>
        <w:autoSpaceDE w:val="0"/>
        <w:autoSpaceDN w:val="0"/>
        <w:adjustRightInd w:val="0"/>
        <w:jc w:val="both"/>
        <w:rPr>
          <w:bCs/>
          <w:sz w:val="20"/>
          <w:szCs w:val="20"/>
        </w:rPr>
      </w:pPr>
    </w:p>
    <w:p w14:paraId="0A8C8E69" w14:textId="095EFEE6" w:rsidR="00087DDB" w:rsidRPr="001D6FA9" w:rsidRDefault="00087DDB" w:rsidP="000C6BBC">
      <w:pPr>
        <w:widowControl w:val="0"/>
        <w:autoSpaceDE w:val="0"/>
        <w:autoSpaceDN w:val="0"/>
        <w:adjustRightInd w:val="0"/>
        <w:jc w:val="both"/>
        <w:rPr>
          <w:sz w:val="20"/>
          <w:szCs w:val="20"/>
        </w:rPr>
      </w:pPr>
      <w:r w:rsidRPr="001D6FA9">
        <w:rPr>
          <w:b/>
          <w:bCs/>
          <w:sz w:val="20"/>
          <w:szCs w:val="20"/>
        </w:rPr>
        <w:t>Заключение</w:t>
      </w:r>
    </w:p>
    <w:p w14:paraId="2A23B585" w14:textId="569A6F17" w:rsidR="00E21AE9" w:rsidRPr="003610FB" w:rsidRDefault="00916CCD" w:rsidP="000C6BBC">
      <w:pPr>
        <w:widowControl w:val="0"/>
        <w:autoSpaceDE w:val="0"/>
        <w:autoSpaceDN w:val="0"/>
        <w:adjustRightInd w:val="0"/>
        <w:jc w:val="both"/>
        <w:rPr>
          <w:sz w:val="20"/>
          <w:szCs w:val="20"/>
        </w:rPr>
      </w:pPr>
      <w:r w:rsidRPr="001D6FA9">
        <w:rPr>
          <w:sz w:val="20"/>
          <w:szCs w:val="20"/>
        </w:rPr>
        <w:t>Разработанное устройство защиты, сочетающее в себе функции мониторинга ГИТ и резистивно-</w:t>
      </w:r>
      <w:proofErr w:type="spellStart"/>
      <w:r w:rsidRPr="001D6FA9">
        <w:rPr>
          <w:sz w:val="20"/>
          <w:szCs w:val="20"/>
        </w:rPr>
        <w:t>тиристорного</w:t>
      </w:r>
      <w:proofErr w:type="spellEnd"/>
      <w:r w:rsidRPr="001D6FA9">
        <w:rPr>
          <w:sz w:val="20"/>
          <w:szCs w:val="20"/>
        </w:rPr>
        <w:t xml:space="preserve"> заземления силовых трансформаторов, </w:t>
      </w:r>
      <w:r w:rsidR="00E21AE9" w:rsidRPr="001D6FA9">
        <w:rPr>
          <w:sz w:val="20"/>
          <w:szCs w:val="20"/>
        </w:rPr>
        <w:t>позволяет ограничивать величину ГИТ до безопасного уровня, определяемого паспортным значением тока холостого хода силового трансформатора, автоматический переход в режим резистивного</w:t>
      </w:r>
      <w:r w:rsidR="00E21AE9" w:rsidRPr="003610FB">
        <w:rPr>
          <w:sz w:val="20"/>
          <w:szCs w:val="20"/>
        </w:rPr>
        <w:t xml:space="preserve"> заземления при насыщении магнитной системы под воздействием ГИТ и возврат в режим </w:t>
      </w:r>
      <w:proofErr w:type="spellStart"/>
      <w:r w:rsidR="00E21AE9" w:rsidRPr="003610FB">
        <w:rPr>
          <w:sz w:val="20"/>
          <w:szCs w:val="20"/>
        </w:rPr>
        <w:t>глухозаземленной</w:t>
      </w:r>
      <w:proofErr w:type="spellEnd"/>
      <w:r w:rsidR="00E21AE9" w:rsidRPr="003610FB">
        <w:rPr>
          <w:sz w:val="20"/>
          <w:szCs w:val="20"/>
        </w:rPr>
        <w:t xml:space="preserve"> </w:t>
      </w:r>
      <w:proofErr w:type="spellStart"/>
      <w:r w:rsidR="00E21AE9" w:rsidRPr="003610FB">
        <w:rPr>
          <w:sz w:val="20"/>
          <w:szCs w:val="20"/>
        </w:rPr>
        <w:t>нейтрали</w:t>
      </w:r>
      <w:proofErr w:type="spellEnd"/>
      <w:r w:rsidR="00E21AE9" w:rsidRPr="003610FB">
        <w:rPr>
          <w:sz w:val="20"/>
          <w:szCs w:val="20"/>
        </w:rPr>
        <w:t xml:space="preserve"> после прекращения </w:t>
      </w:r>
      <w:r w:rsidR="00C854E6" w:rsidRPr="003610FB">
        <w:rPr>
          <w:sz w:val="20"/>
          <w:szCs w:val="20"/>
        </w:rPr>
        <w:t>геомагнитных возмущений</w:t>
      </w:r>
      <w:r w:rsidR="00E21AE9" w:rsidRPr="003610FB">
        <w:rPr>
          <w:sz w:val="20"/>
          <w:szCs w:val="20"/>
        </w:rPr>
        <w:t xml:space="preserve"> и обеспечивать выполнение требования эффективности заземления при однофазных коротких замыканиях.</w:t>
      </w:r>
    </w:p>
    <w:p w14:paraId="688B9DD2" w14:textId="77777777" w:rsidR="00E21AE9" w:rsidRPr="001D6FA9" w:rsidRDefault="00E21AE9" w:rsidP="000978D7">
      <w:pPr>
        <w:widowControl w:val="0"/>
        <w:autoSpaceDE w:val="0"/>
        <w:autoSpaceDN w:val="0"/>
        <w:adjustRightInd w:val="0"/>
        <w:jc w:val="both"/>
        <w:rPr>
          <w:sz w:val="20"/>
          <w:szCs w:val="20"/>
        </w:rPr>
      </w:pPr>
    </w:p>
    <w:p w14:paraId="14226281" w14:textId="7A9F5F26" w:rsidR="00E21AE9" w:rsidRPr="001D6FA9" w:rsidRDefault="00087DDB" w:rsidP="00087DDB">
      <w:pPr>
        <w:widowControl w:val="0"/>
        <w:autoSpaceDE w:val="0"/>
        <w:autoSpaceDN w:val="0"/>
        <w:adjustRightInd w:val="0"/>
        <w:jc w:val="both"/>
        <w:rPr>
          <w:b/>
          <w:bCs/>
          <w:sz w:val="20"/>
          <w:szCs w:val="20"/>
          <w:lang w:val="en-US"/>
        </w:rPr>
      </w:pPr>
      <w:r w:rsidRPr="001D6FA9">
        <w:rPr>
          <w:b/>
          <w:bCs/>
          <w:sz w:val="20"/>
          <w:szCs w:val="20"/>
        </w:rPr>
        <w:t>Литература</w:t>
      </w:r>
    </w:p>
    <w:p w14:paraId="48849036" w14:textId="10F673EF" w:rsidR="0076175E" w:rsidRPr="00D03DC8" w:rsidRDefault="00B16592" w:rsidP="00087DDB">
      <w:pPr>
        <w:jc w:val="both"/>
        <w:rPr>
          <w:sz w:val="20"/>
          <w:szCs w:val="20"/>
          <w:lang w:val="en-US"/>
        </w:rPr>
      </w:pPr>
      <w:r w:rsidRPr="00D03DC8">
        <w:rPr>
          <w:sz w:val="20"/>
          <w:szCs w:val="20"/>
          <w:lang w:val="en-US"/>
        </w:rPr>
        <w:t>1</w:t>
      </w:r>
      <w:r w:rsidR="0076175E" w:rsidRPr="00D03DC8">
        <w:rPr>
          <w:sz w:val="20"/>
          <w:szCs w:val="20"/>
          <w:lang w:val="en-US"/>
        </w:rPr>
        <w:t xml:space="preserve">. </w:t>
      </w:r>
      <w:proofErr w:type="spellStart"/>
      <w:r w:rsidR="00D03DC8" w:rsidRPr="00D03DC8">
        <w:rPr>
          <w:sz w:val="20"/>
          <w:szCs w:val="20"/>
          <w:lang w:val="en-US"/>
        </w:rPr>
        <w:t>Kappenman</w:t>
      </w:r>
      <w:proofErr w:type="spellEnd"/>
      <w:r w:rsidR="00D03DC8" w:rsidRPr="00D03DC8">
        <w:rPr>
          <w:sz w:val="20"/>
          <w:szCs w:val="20"/>
          <w:lang w:val="en-US"/>
        </w:rPr>
        <w:t xml:space="preserve"> J.G. Low-Frequency Protection Concepts for the Electric Power Grid: </w:t>
      </w:r>
      <w:proofErr w:type="spellStart"/>
      <w:r w:rsidR="00D03DC8" w:rsidRPr="00D03DC8">
        <w:rPr>
          <w:sz w:val="20"/>
          <w:szCs w:val="20"/>
          <w:lang w:val="en-US"/>
        </w:rPr>
        <w:t>Geomagnetically</w:t>
      </w:r>
      <w:proofErr w:type="spellEnd"/>
      <w:r w:rsidR="00D03DC8" w:rsidRPr="00D03DC8">
        <w:rPr>
          <w:sz w:val="20"/>
          <w:szCs w:val="20"/>
          <w:lang w:val="en-US"/>
        </w:rPr>
        <w:t xml:space="preserve"> Induced Current (GIC) and E3 HEMP Mitigation // </w:t>
      </w:r>
      <w:proofErr w:type="spellStart"/>
      <w:r w:rsidR="00D03DC8" w:rsidRPr="00D03DC8">
        <w:rPr>
          <w:sz w:val="20"/>
          <w:szCs w:val="20"/>
          <w:lang w:val="en-US"/>
        </w:rPr>
        <w:t>Metatech</w:t>
      </w:r>
      <w:proofErr w:type="spellEnd"/>
      <w:r w:rsidR="00D03DC8" w:rsidRPr="00D03DC8">
        <w:rPr>
          <w:sz w:val="20"/>
          <w:szCs w:val="20"/>
          <w:lang w:val="en-US"/>
        </w:rPr>
        <w:t xml:space="preserve"> Corporation 358 S. Fairview Ave., Suite E Goleta, CA 93117, 94 p. </w:t>
      </w:r>
      <w:r w:rsidR="00D03DC8" w:rsidRPr="00D03DC8">
        <w:rPr>
          <w:sz w:val="20"/>
          <w:szCs w:val="20"/>
          <w:lang w:val="en-US"/>
        </w:rPr>
        <w:t>2010</w:t>
      </w:r>
      <w:r w:rsidR="00D03DC8" w:rsidRPr="00D03DC8">
        <w:rPr>
          <w:sz w:val="20"/>
          <w:szCs w:val="20"/>
          <w:lang w:val="en-US"/>
        </w:rPr>
        <w:t>.</w:t>
      </w:r>
    </w:p>
    <w:p w14:paraId="77EACAA6" w14:textId="77701CE5" w:rsidR="00917B43" w:rsidRPr="003610FB" w:rsidRDefault="00B16592" w:rsidP="00087DDB">
      <w:pPr>
        <w:jc w:val="both"/>
        <w:rPr>
          <w:sz w:val="20"/>
          <w:szCs w:val="20"/>
        </w:rPr>
      </w:pPr>
      <w:r w:rsidRPr="003610FB">
        <w:rPr>
          <w:sz w:val="20"/>
          <w:szCs w:val="20"/>
        </w:rPr>
        <w:t>2</w:t>
      </w:r>
      <w:r w:rsidR="00917B43" w:rsidRPr="003610FB">
        <w:rPr>
          <w:sz w:val="20"/>
          <w:szCs w:val="20"/>
        </w:rPr>
        <w:t xml:space="preserve">. </w:t>
      </w:r>
      <w:proofErr w:type="spellStart"/>
      <w:r w:rsidR="00917B43" w:rsidRPr="003610FB">
        <w:rPr>
          <w:sz w:val="20"/>
          <w:szCs w:val="20"/>
        </w:rPr>
        <w:t>Мозгалев</w:t>
      </w:r>
      <w:proofErr w:type="spellEnd"/>
      <w:r w:rsidR="00917B43" w:rsidRPr="003610FB">
        <w:rPr>
          <w:sz w:val="20"/>
          <w:szCs w:val="20"/>
        </w:rPr>
        <w:t xml:space="preserve"> К.В., </w:t>
      </w:r>
      <w:proofErr w:type="spellStart"/>
      <w:r w:rsidR="00917B43" w:rsidRPr="003610FB">
        <w:rPr>
          <w:sz w:val="20"/>
          <w:szCs w:val="20"/>
        </w:rPr>
        <w:t>Неклепаев</w:t>
      </w:r>
      <w:proofErr w:type="spellEnd"/>
      <w:r w:rsidR="00917B43" w:rsidRPr="003610FB">
        <w:rPr>
          <w:sz w:val="20"/>
          <w:szCs w:val="20"/>
        </w:rPr>
        <w:t xml:space="preserve"> Б.Н., Шунтов А.В. Об эффективности заземления </w:t>
      </w:r>
      <w:proofErr w:type="spellStart"/>
      <w:r w:rsidR="00917B43" w:rsidRPr="003610FB">
        <w:rPr>
          <w:sz w:val="20"/>
          <w:szCs w:val="20"/>
        </w:rPr>
        <w:t>нейтралей</w:t>
      </w:r>
      <w:proofErr w:type="spellEnd"/>
      <w:r w:rsidR="00917B43" w:rsidRPr="003610FB">
        <w:rPr>
          <w:sz w:val="20"/>
          <w:szCs w:val="20"/>
        </w:rPr>
        <w:t xml:space="preserve"> автотрансформаторов через реактор или резистор</w:t>
      </w:r>
      <w:r w:rsidR="00D03DC8">
        <w:rPr>
          <w:sz w:val="20"/>
          <w:szCs w:val="20"/>
        </w:rPr>
        <w:t xml:space="preserve"> //</w:t>
      </w:r>
      <w:r w:rsidR="00917B43" w:rsidRPr="003610FB">
        <w:rPr>
          <w:sz w:val="20"/>
          <w:szCs w:val="20"/>
        </w:rPr>
        <w:t xml:space="preserve"> Электричество. №1. С. 32–39.</w:t>
      </w:r>
      <w:r w:rsidR="00D03DC8">
        <w:rPr>
          <w:sz w:val="20"/>
          <w:szCs w:val="20"/>
        </w:rPr>
        <w:t xml:space="preserve"> </w:t>
      </w:r>
      <w:r w:rsidR="00D03DC8" w:rsidRPr="003610FB">
        <w:rPr>
          <w:sz w:val="20"/>
          <w:szCs w:val="20"/>
        </w:rPr>
        <w:t>2004.</w:t>
      </w:r>
    </w:p>
    <w:p w14:paraId="3266CD12" w14:textId="58F1049E" w:rsidR="00167EF2" w:rsidRPr="003610FB" w:rsidRDefault="00B16592" w:rsidP="00087DDB">
      <w:pPr>
        <w:jc w:val="both"/>
        <w:rPr>
          <w:sz w:val="20"/>
          <w:szCs w:val="20"/>
        </w:rPr>
      </w:pPr>
      <w:r w:rsidRPr="003610FB">
        <w:rPr>
          <w:sz w:val="20"/>
          <w:szCs w:val="20"/>
        </w:rPr>
        <w:t>3</w:t>
      </w:r>
      <w:r w:rsidR="00917B43" w:rsidRPr="003610FB">
        <w:rPr>
          <w:sz w:val="20"/>
          <w:szCs w:val="20"/>
        </w:rPr>
        <w:t>. СТО 56947007-29.240.01.221-2016 Руководство по защите электрических сетей напряжением 110-750 кВ от грозовых и внутренних перенапряжений. ПАО «ФСК ЕЭС»</w:t>
      </w:r>
      <w:r w:rsidR="00D03DC8">
        <w:rPr>
          <w:sz w:val="20"/>
          <w:szCs w:val="20"/>
        </w:rPr>
        <w:t>.</w:t>
      </w:r>
      <w:r w:rsidR="00917B43" w:rsidRPr="003610FB">
        <w:rPr>
          <w:sz w:val="20"/>
          <w:szCs w:val="20"/>
        </w:rPr>
        <w:t xml:space="preserve"> 2016.</w:t>
      </w:r>
    </w:p>
    <w:p w14:paraId="731BF750" w14:textId="2912F11A" w:rsidR="00D21F07" w:rsidRPr="003610FB" w:rsidRDefault="00B16592" w:rsidP="00087DDB">
      <w:pPr>
        <w:jc w:val="both"/>
        <w:rPr>
          <w:sz w:val="20"/>
          <w:szCs w:val="20"/>
        </w:rPr>
      </w:pPr>
      <w:r w:rsidRPr="003610FB">
        <w:rPr>
          <w:sz w:val="20"/>
          <w:szCs w:val="20"/>
        </w:rPr>
        <w:t>4</w:t>
      </w:r>
      <w:r w:rsidR="00D21F07" w:rsidRPr="003610FB">
        <w:rPr>
          <w:sz w:val="20"/>
          <w:szCs w:val="20"/>
        </w:rPr>
        <w:t xml:space="preserve">. Правила устройства электроустановок. </w:t>
      </w:r>
      <w:proofErr w:type="spellStart"/>
      <w:r w:rsidR="00D21F07" w:rsidRPr="003610FB">
        <w:rPr>
          <w:sz w:val="20"/>
          <w:szCs w:val="20"/>
        </w:rPr>
        <w:t>С.Пб</w:t>
      </w:r>
      <w:proofErr w:type="spellEnd"/>
      <w:r w:rsidR="00D21F07" w:rsidRPr="003610FB">
        <w:rPr>
          <w:sz w:val="20"/>
          <w:szCs w:val="20"/>
        </w:rPr>
        <w:t xml:space="preserve">.: </w:t>
      </w:r>
      <w:proofErr w:type="spellStart"/>
      <w:r w:rsidR="00D21F07" w:rsidRPr="003610FB">
        <w:rPr>
          <w:sz w:val="20"/>
          <w:szCs w:val="20"/>
        </w:rPr>
        <w:t>Энергоатомиздат</w:t>
      </w:r>
      <w:proofErr w:type="spellEnd"/>
      <w:r w:rsidR="00D03DC8">
        <w:rPr>
          <w:sz w:val="20"/>
          <w:szCs w:val="20"/>
        </w:rPr>
        <w:t>.</w:t>
      </w:r>
      <w:r w:rsidR="00D21F07" w:rsidRPr="003610FB">
        <w:rPr>
          <w:sz w:val="20"/>
          <w:szCs w:val="20"/>
        </w:rPr>
        <w:t xml:space="preserve"> 2003.</w:t>
      </w:r>
    </w:p>
    <w:p w14:paraId="12EBB738" w14:textId="129A1B9E" w:rsidR="00D21F07" w:rsidRPr="003610FB" w:rsidRDefault="00B16592" w:rsidP="00087DDB">
      <w:pPr>
        <w:jc w:val="both"/>
        <w:rPr>
          <w:sz w:val="20"/>
          <w:szCs w:val="20"/>
        </w:rPr>
      </w:pPr>
      <w:r w:rsidRPr="003610FB">
        <w:rPr>
          <w:sz w:val="20"/>
          <w:szCs w:val="20"/>
        </w:rPr>
        <w:t>5</w:t>
      </w:r>
      <w:r w:rsidR="00D21F07" w:rsidRPr="003610FB">
        <w:rPr>
          <w:sz w:val="20"/>
          <w:szCs w:val="20"/>
        </w:rPr>
        <w:t>. ГОСТ Р 58882-2020 Заземляющие устройства. Системы выравнивания потенциалов. Заземлители. Заземляющие проводники. Технические требования.</w:t>
      </w:r>
    </w:p>
    <w:p w14:paraId="0EA8E26C" w14:textId="74C6F0C3" w:rsidR="00E21AE9" w:rsidRPr="003610FB" w:rsidRDefault="00B16592" w:rsidP="00087DDB">
      <w:pPr>
        <w:jc w:val="both"/>
        <w:rPr>
          <w:sz w:val="20"/>
          <w:szCs w:val="20"/>
        </w:rPr>
      </w:pPr>
      <w:r w:rsidRPr="003610FB">
        <w:rPr>
          <w:sz w:val="20"/>
          <w:szCs w:val="20"/>
        </w:rPr>
        <w:t>6</w:t>
      </w:r>
      <w:r w:rsidR="00E21AE9" w:rsidRPr="003610FB">
        <w:rPr>
          <w:sz w:val="20"/>
          <w:szCs w:val="20"/>
        </w:rPr>
        <w:t xml:space="preserve">. Конюхов А.В., Веселова И.М., Мартыненко В.А., </w:t>
      </w:r>
      <w:proofErr w:type="spellStart"/>
      <w:r w:rsidR="00E21AE9" w:rsidRPr="003610FB">
        <w:rPr>
          <w:sz w:val="20"/>
          <w:szCs w:val="20"/>
        </w:rPr>
        <w:t>Халугин</w:t>
      </w:r>
      <w:proofErr w:type="spellEnd"/>
      <w:r w:rsidR="00E21AE9" w:rsidRPr="003610FB">
        <w:rPr>
          <w:sz w:val="20"/>
          <w:szCs w:val="20"/>
        </w:rPr>
        <w:t xml:space="preserve"> А.А., Гришанин А.В. Отечественные высоковольтные мощные </w:t>
      </w:r>
      <w:proofErr w:type="spellStart"/>
      <w:r w:rsidR="00E21AE9" w:rsidRPr="003610FB">
        <w:rPr>
          <w:sz w:val="20"/>
          <w:szCs w:val="20"/>
        </w:rPr>
        <w:t>фототиристоры</w:t>
      </w:r>
      <w:proofErr w:type="spellEnd"/>
      <w:r w:rsidR="00E21AE9" w:rsidRPr="003610FB">
        <w:rPr>
          <w:sz w:val="20"/>
          <w:szCs w:val="20"/>
        </w:rPr>
        <w:t xml:space="preserve"> с интегрированной самозащитой от пробоя // Электричество. №10. С.5-11.</w:t>
      </w:r>
      <w:r w:rsidR="00D03DC8">
        <w:rPr>
          <w:sz w:val="20"/>
          <w:szCs w:val="20"/>
        </w:rPr>
        <w:t xml:space="preserve"> </w:t>
      </w:r>
      <w:r w:rsidR="00D03DC8" w:rsidRPr="003610FB">
        <w:rPr>
          <w:sz w:val="20"/>
          <w:szCs w:val="20"/>
        </w:rPr>
        <w:t>2011.</w:t>
      </w:r>
    </w:p>
    <w:p w14:paraId="55B3F071" w14:textId="7F894CE4" w:rsidR="00D21F07" w:rsidRDefault="00B16592" w:rsidP="00087DDB">
      <w:pPr>
        <w:jc w:val="both"/>
        <w:rPr>
          <w:sz w:val="20"/>
          <w:szCs w:val="20"/>
        </w:rPr>
      </w:pPr>
      <w:r w:rsidRPr="003610FB">
        <w:rPr>
          <w:sz w:val="20"/>
          <w:szCs w:val="20"/>
        </w:rPr>
        <w:lastRenderedPageBreak/>
        <w:t>7</w:t>
      </w:r>
      <w:r w:rsidR="00E21AE9" w:rsidRPr="003610FB">
        <w:rPr>
          <w:sz w:val="20"/>
          <w:szCs w:val="20"/>
        </w:rPr>
        <w:t xml:space="preserve">. </w:t>
      </w:r>
      <w:proofErr w:type="spellStart"/>
      <w:r w:rsidR="00E21AE9" w:rsidRPr="003610FB">
        <w:rPr>
          <w:sz w:val="20"/>
          <w:szCs w:val="20"/>
        </w:rPr>
        <w:t>Куландин</w:t>
      </w:r>
      <w:proofErr w:type="spellEnd"/>
      <w:r w:rsidR="00E21AE9" w:rsidRPr="003610FB">
        <w:rPr>
          <w:sz w:val="20"/>
          <w:szCs w:val="20"/>
        </w:rPr>
        <w:t xml:space="preserve"> Р., </w:t>
      </w:r>
      <w:proofErr w:type="spellStart"/>
      <w:r w:rsidR="00E21AE9" w:rsidRPr="003610FB">
        <w:rPr>
          <w:sz w:val="20"/>
          <w:szCs w:val="20"/>
        </w:rPr>
        <w:t>Новотный</w:t>
      </w:r>
      <w:proofErr w:type="spellEnd"/>
      <w:r w:rsidR="00E21AE9" w:rsidRPr="003610FB">
        <w:rPr>
          <w:sz w:val="20"/>
          <w:szCs w:val="20"/>
        </w:rPr>
        <w:t xml:space="preserve"> С. Электронные компоненты для силовой электроники от ХКОАО «НЭВЗ-Союз»</w:t>
      </w:r>
      <w:r w:rsidR="00D03DC8">
        <w:rPr>
          <w:sz w:val="20"/>
          <w:szCs w:val="20"/>
        </w:rPr>
        <w:t xml:space="preserve"> </w:t>
      </w:r>
      <w:r w:rsidR="00E21AE9" w:rsidRPr="003610FB">
        <w:rPr>
          <w:sz w:val="20"/>
          <w:szCs w:val="20"/>
        </w:rPr>
        <w:t>//</w:t>
      </w:r>
      <w:r w:rsidR="00D03DC8">
        <w:rPr>
          <w:sz w:val="20"/>
          <w:szCs w:val="20"/>
        </w:rPr>
        <w:t xml:space="preserve"> </w:t>
      </w:r>
      <w:r w:rsidR="00E21AE9" w:rsidRPr="003610FB">
        <w:rPr>
          <w:sz w:val="20"/>
          <w:szCs w:val="20"/>
        </w:rPr>
        <w:t>Силовая электроника. №2. С.20-21.</w:t>
      </w:r>
      <w:r w:rsidR="00D03DC8">
        <w:rPr>
          <w:sz w:val="20"/>
          <w:szCs w:val="20"/>
        </w:rPr>
        <w:t xml:space="preserve"> </w:t>
      </w:r>
      <w:r w:rsidR="00D03DC8" w:rsidRPr="003610FB">
        <w:rPr>
          <w:sz w:val="20"/>
          <w:szCs w:val="20"/>
        </w:rPr>
        <w:t>2009.</w:t>
      </w:r>
    </w:p>
    <w:p w14:paraId="5157BCB1" w14:textId="70B9DDB0" w:rsidR="001D6FA9" w:rsidRDefault="001D6FA9">
      <w:pPr>
        <w:spacing w:after="160" w:line="259" w:lineRule="auto"/>
        <w:rPr>
          <w:sz w:val="20"/>
          <w:szCs w:val="20"/>
        </w:rPr>
      </w:pPr>
      <w:r>
        <w:rPr>
          <w:sz w:val="20"/>
          <w:szCs w:val="20"/>
        </w:rPr>
        <w:br w:type="page"/>
      </w:r>
    </w:p>
    <w:p w14:paraId="11B3B498" w14:textId="77777777" w:rsidR="001D6FA9" w:rsidRPr="008F195D" w:rsidRDefault="001D6FA9" w:rsidP="001D6FA9">
      <w:pPr>
        <w:jc w:val="both"/>
        <w:rPr>
          <w:b/>
          <w:sz w:val="20"/>
          <w:szCs w:val="20"/>
          <w:u w:val="single"/>
          <w:lang w:eastAsia="en-US"/>
        </w:rPr>
      </w:pPr>
      <w:r w:rsidRPr="008F195D">
        <w:rPr>
          <w:b/>
          <w:sz w:val="20"/>
          <w:szCs w:val="20"/>
          <w:u w:val="single"/>
          <w:lang w:eastAsia="en-US"/>
        </w:rPr>
        <w:lastRenderedPageBreak/>
        <w:t>Информация о статье на английском языке</w:t>
      </w:r>
    </w:p>
    <w:p w14:paraId="3623E510" w14:textId="77777777" w:rsidR="001D6FA9" w:rsidRPr="001D6FA9" w:rsidRDefault="001D6FA9" w:rsidP="001D6FA9">
      <w:pPr>
        <w:jc w:val="both"/>
        <w:rPr>
          <w:sz w:val="20"/>
          <w:szCs w:val="20"/>
          <w:lang w:eastAsia="en-US"/>
        </w:rPr>
      </w:pPr>
    </w:p>
    <w:p w14:paraId="22224CED" w14:textId="2C011858" w:rsidR="001D6FA9" w:rsidRPr="001D6FA9" w:rsidRDefault="001D6FA9" w:rsidP="001D6FA9">
      <w:pPr>
        <w:jc w:val="both"/>
        <w:rPr>
          <w:sz w:val="20"/>
          <w:szCs w:val="20"/>
          <w:lang w:val="en-US" w:eastAsia="en-US"/>
        </w:rPr>
      </w:pPr>
      <w:r w:rsidRPr="001D6FA9">
        <w:rPr>
          <w:sz w:val="20"/>
          <w:szCs w:val="20"/>
          <w:lang w:val="en-US" w:eastAsia="en-US"/>
        </w:rPr>
        <w:t>FEATURES OF PROTECTION OF HIGH-VOLTAGE POWER TRANSFORMERS UNDER INCREASED GEOMAGNETIC ACTIVITY</w:t>
      </w:r>
    </w:p>
    <w:p w14:paraId="0D564F42" w14:textId="77777777" w:rsidR="001D6FA9" w:rsidRPr="001D6FA9" w:rsidRDefault="001D6FA9" w:rsidP="001D6FA9">
      <w:pPr>
        <w:jc w:val="both"/>
        <w:rPr>
          <w:sz w:val="20"/>
          <w:szCs w:val="20"/>
          <w:lang w:val="en-US" w:eastAsia="en-US"/>
        </w:rPr>
      </w:pPr>
    </w:p>
    <w:p w14:paraId="18EDDD51" w14:textId="1AABC9EC" w:rsidR="001D6FA9" w:rsidRDefault="001D6FA9" w:rsidP="001D6FA9">
      <w:pPr>
        <w:jc w:val="both"/>
        <w:rPr>
          <w:sz w:val="20"/>
          <w:szCs w:val="20"/>
          <w:lang w:val="en-US" w:eastAsia="en-US"/>
        </w:rPr>
      </w:pPr>
      <w:proofErr w:type="spellStart"/>
      <w:r w:rsidRPr="001D6FA9">
        <w:rPr>
          <w:sz w:val="20"/>
          <w:szCs w:val="20"/>
          <w:lang w:val="en-US" w:eastAsia="en-US"/>
        </w:rPr>
        <w:t>Vakhnina</w:t>
      </w:r>
      <w:proofErr w:type="spellEnd"/>
      <w:r w:rsidRPr="001D6FA9">
        <w:rPr>
          <w:sz w:val="20"/>
          <w:szCs w:val="20"/>
          <w:lang w:val="en-US" w:eastAsia="en-US"/>
        </w:rPr>
        <w:t xml:space="preserve"> V.V., </w:t>
      </w:r>
      <w:proofErr w:type="spellStart"/>
      <w:r w:rsidRPr="001D6FA9">
        <w:rPr>
          <w:sz w:val="20"/>
          <w:szCs w:val="20"/>
          <w:lang w:val="en-US" w:eastAsia="en-US"/>
        </w:rPr>
        <w:t>Kuvshinov</w:t>
      </w:r>
      <w:proofErr w:type="spellEnd"/>
      <w:r w:rsidRPr="001D6FA9">
        <w:rPr>
          <w:sz w:val="20"/>
          <w:szCs w:val="20"/>
          <w:lang w:val="en-US" w:eastAsia="en-US"/>
        </w:rPr>
        <w:t xml:space="preserve"> A.A., </w:t>
      </w:r>
      <w:proofErr w:type="spellStart"/>
      <w:r w:rsidRPr="001D6FA9">
        <w:rPr>
          <w:sz w:val="20"/>
          <w:szCs w:val="20"/>
          <w:lang w:val="en-US" w:eastAsia="en-US"/>
        </w:rPr>
        <w:t>Chernenko</w:t>
      </w:r>
      <w:proofErr w:type="spellEnd"/>
      <w:r w:rsidRPr="001D6FA9">
        <w:rPr>
          <w:sz w:val="20"/>
          <w:szCs w:val="20"/>
          <w:lang w:val="en-US" w:eastAsia="en-US"/>
        </w:rPr>
        <w:t xml:space="preserve"> A.N., </w:t>
      </w:r>
      <w:proofErr w:type="spellStart"/>
      <w:r w:rsidRPr="001D6FA9">
        <w:rPr>
          <w:sz w:val="20"/>
          <w:szCs w:val="20"/>
          <w:lang w:val="en-US" w:eastAsia="en-US"/>
        </w:rPr>
        <w:t>Fedyay</w:t>
      </w:r>
      <w:proofErr w:type="spellEnd"/>
      <w:r w:rsidRPr="001D6FA9">
        <w:rPr>
          <w:sz w:val="20"/>
          <w:szCs w:val="20"/>
          <w:lang w:val="en-US" w:eastAsia="en-US"/>
        </w:rPr>
        <w:t xml:space="preserve"> O.V., </w:t>
      </w:r>
      <w:proofErr w:type="spellStart"/>
      <w:r w:rsidRPr="001D6FA9">
        <w:rPr>
          <w:sz w:val="20"/>
          <w:szCs w:val="20"/>
          <w:lang w:val="en-US" w:eastAsia="en-US"/>
        </w:rPr>
        <w:t>Pudovinnikov</w:t>
      </w:r>
      <w:proofErr w:type="spellEnd"/>
      <w:r w:rsidRPr="001D6FA9">
        <w:rPr>
          <w:sz w:val="20"/>
          <w:szCs w:val="20"/>
          <w:lang w:val="en-US" w:eastAsia="en-US"/>
        </w:rPr>
        <w:t xml:space="preserve"> R.N.</w:t>
      </w:r>
    </w:p>
    <w:p w14:paraId="4B6E2C77" w14:textId="5CACA0E1" w:rsidR="001D6FA9" w:rsidRDefault="001D6FA9" w:rsidP="001D6FA9">
      <w:pPr>
        <w:jc w:val="both"/>
        <w:rPr>
          <w:sz w:val="20"/>
          <w:szCs w:val="20"/>
          <w:lang w:val="en-US" w:eastAsia="en-US"/>
        </w:rPr>
      </w:pPr>
    </w:p>
    <w:p w14:paraId="65A4B4CC" w14:textId="1081EBD0" w:rsidR="001D6FA9" w:rsidRPr="001D6FA9" w:rsidRDefault="001D6FA9" w:rsidP="001D6FA9">
      <w:pPr>
        <w:jc w:val="both"/>
        <w:rPr>
          <w:sz w:val="20"/>
          <w:szCs w:val="20"/>
          <w:lang w:val="en-US" w:eastAsia="en-US"/>
        </w:rPr>
      </w:pPr>
      <w:r w:rsidRPr="001D6FA9">
        <w:rPr>
          <w:sz w:val="20"/>
          <w:szCs w:val="20"/>
          <w:lang w:val="en-US" w:eastAsia="en-US"/>
        </w:rPr>
        <w:t>Tolyatti State University, Tolyatti, Russia</w:t>
      </w:r>
    </w:p>
    <w:p w14:paraId="3D6E7ADA" w14:textId="77777777" w:rsidR="001D6FA9" w:rsidRPr="001D6FA9" w:rsidRDefault="001D6FA9" w:rsidP="001D6FA9">
      <w:pPr>
        <w:jc w:val="both"/>
        <w:rPr>
          <w:sz w:val="20"/>
          <w:szCs w:val="20"/>
          <w:lang w:val="en-US" w:eastAsia="en-US"/>
        </w:rPr>
      </w:pPr>
    </w:p>
    <w:p w14:paraId="3731F814" w14:textId="77777777" w:rsidR="001D6FA9" w:rsidRPr="001D6FA9" w:rsidRDefault="001D6FA9" w:rsidP="001D6FA9">
      <w:pPr>
        <w:jc w:val="both"/>
        <w:rPr>
          <w:sz w:val="20"/>
          <w:szCs w:val="20"/>
          <w:lang w:val="en-US" w:eastAsia="en-US"/>
        </w:rPr>
      </w:pPr>
      <w:r w:rsidRPr="001D6FA9">
        <w:rPr>
          <w:sz w:val="20"/>
          <w:szCs w:val="20"/>
          <w:lang w:val="en-US" w:eastAsia="en-US"/>
        </w:rPr>
        <w:t>Abstract. The possibilities of using resistive and resistive-</w:t>
      </w:r>
      <w:proofErr w:type="spellStart"/>
      <w:r w:rsidRPr="001D6FA9">
        <w:rPr>
          <w:sz w:val="20"/>
          <w:szCs w:val="20"/>
          <w:lang w:val="en-US" w:eastAsia="en-US"/>
        </w:rPr>
        <w:t>thyristor</w:t>
      </w:r>
      <w:proofErr w:type="spellEnd"/>
      <w:r w:rsidRPr="001D6FA9">
        <w:rPr>
          <w:sz w:val="20"/>
          <w:szCs w:val="20"/>
          <w:lang w:val="en-US" w:eastAsia="en-US"/>
        </w:rPr>
        <w:t xml:space="preserve"> grounding of high-voltage power transformers for limiting </w:t>
      </w:r>
      <w:proofErr w:type="spellStart"/>
      <w:r w:rsidRPr="001D6FA9">
        <w:rPr>
          <w:sz w:val="20"/>
          <w:szCs w:val="20"/>
          <w:lang w:val="en-US" w:eastAsia="en-US"/>
        </w:rPr>
        <w:t>geomagnetically</w:t>
      </w:r>
      <w:proofErr w:type="spellEnd"/>
      <w:r w:rsidRPr="001D6FA9">
        <w:rPr>
          <w:sz w:val="20"/>
          <w:szCs w:val="20"/>
          <w:lang w:val="en-US" w:eastAsia="en-US"/>
        </w:rPr>
        <w:t xml:space="preserve"> induced currents (GIC) </w:t>
      </w:r>
      <w:proofErr w:type="gramStart"/>
      <w:r w:rsidRPr="001D6FA9">
        <w:rPr>
          <w:sz w:val="20"/>
          <w:szCs w:val="20"/>
          <w:lang w:val="en-US" w:eastAsia="en-US"/>
        </w:rPr>
        <w:t>are analyzed</w:t>
      </w:r>
      <w:proofErr w:type="gramEnd"/>
      <w:r w:rsidRPr="001D6FA9">
        <w:rPr>
          <w:sz w:val="20"/>
          <w:szCs w:val="20"/>
          <w:lang w:val="en-US" w:eastAsia="en-US"/>
        </w:rPr>
        <w:t xml:space="preserve">. It </w:t>
      </w:r>
      <w:proofErr w:type="gramStart"/>
      <w:r w:rsidRPr="001D6FA9">
        <w:rPr>
          <w:sz w:val="20"/>
          <w:szCs w:val="20"/>
          <w:lang w:val="en-US" w:eastAsia="en-US"/>
        </w:rPr>
        <w:t>is shown</w:t>
      </w:r>
      <w:proofErr w:type="gramEnd"/>
      <w:r w:rsidRPr="001D6FA9">
        <w:rPr>
          <w:sz w:val="20"/>
          <w:szCs w:val="20"/>
          <w:lang w:val="en-US" w:eastAsia="en-US"/>
        </w:rPr>
        <w:t xml:space="preserve"> that the most effective method of neutral grounding is a resistive-</w:t>
      </w:r>
      <w:proofErr w:type="spellStart"/>
      <w:r w:rsidRPr="001D6FA9">
        <w:rPr>
          <w:sz w:val="20"/>
          <w:szCs w:val="20"/>
          <w:lang w:val="en-US" w:eastAsia="en-US"/>
        </w:rPr>
        <w:t>thyristor</w:t>
      </w:r>
      <w:proofErr w:type="spellEnd"/>
      <w:r w:rsidRPr="001D6FA9">
        <w:rPr>
          <w:sz w:val="20"/>
          <w:szCs w:val="20"/>
          <w:lang w:val="en-US" w:eastAsia="en-US"/>
        </w:rPr>
        <w:t xml:space="preserve"> grounding system, which provides a solidly grounded neutral mode in the absence of GIC and a resistive neutral grounding mode when GIC appear, causing saturation of the magnetic system of the power transformer. Automatic control of the resistive-</w:t>
      </w:r>
      <w:proofErr w:type="spellStart"/>
      <w:r w:rsidRPr="001D6FA9">
        <w:rPr>
          <w:sz w:val="20"/>
          <w:szCs w:val="20"/>
          <w:lang w:val="en-US" w:eastAsia="en-US"/>
        </w:rPr>
        <w:t>thyristor</w:t>
      </w:r>
      <w:proofErr w:type="spellEnd"/>
      <w:r w:rsidRPr="001D6FA9">
        <w:rPr>
          <w:sz w:val="20"/>
          <w:szCs w:val="20"/>
          <w:lang w:val="en-US" w:eastAsia="en-US"/>
        </w:rPr>
        <w:t xml:space="preserve"> neutral grounding mode of the power transformer </w:t>
      </w:r>
      <w:proofErr w:type="gramStart"/>
      <w:r w:rsidRPr="001D6FA9">
        <w:rPr>
          <w:sz w:val="20"/>
          <w:szCs w:val="20"/>
          <w:lang w:val="en-US" w:eastAsia="en-US"/>
        </w:rPr>
        <w:t>is provided</w:t>
      </w:r>
      <w:proofErr w:type="gramEnd"/>
      <w:r w:rsidRPr="001D6FA9">
        <w:rPr>
          <w:sz w:val="20"/>
          <w:szCs w:val="20"/>
          <w:lang w:val="en-US" w:eastAsia="en-US"/>
        </w:rPr>
        <w:t xml:space="preserve"> without the involvement of operational dispatch personnel.</w:t>
      </w:r>
    </w:p>
    <w:p w14:paraId="257AA5B2" w14:textId="23CECAA0" w:rsidR="007C17A7" w:rsidRPr="001D6FA9" w:rsidRDefault="007C17A7" w:rsidP="00087DDB">
      <w:pPr>
        <w:jc w:val="both"/>
        <w:rPr>
          <w:sz w:val="20"/>
          <w:szCs w:val="20"/>
          <w:lang w:val="en-US" w:eastAsia="en-US"/>
        </w:rPr>
      </w:pPr>
    </w:p>
    <w:p w14:paraId="678990C8" w14:textId="77777777" w:rsidR="001D6FA9" w:rsidRPr="008F195D" w:rsidRDefault="001D6FA9" w:rsidP="001D6FA9">
      <w:pPr>
        <w:jc w:val="both"/>
        <w:rPr>
          <w:b/>
          <w:sz w:val="20"/>
          <w:szCs w:val="20"/>
          <w:u w:val="single"/>
        </w:rPr>
      </w:pPr>
      <w:r w:rsidRPr="008F195D">
        <w:rPr>
          <w:b/>
          <w:sz w:val="20"/>
          <w:szCs w:val="20"/>
          <w:u w:val="single"/>
        </w:rPr>
        <w:t>Список авторов с указанием места работы и e-</w:t>
      </w:r>
      <w:proofErr w:type="spellStart"/>
      <w:r w:rsidRPr="008F195D">
        <w:rPr>
          <w:b/>
          <w:sz w:val="20"/>
          <w:szCs w:val="20"/>
          <w:u w:val="single"/>
        </w:rPr>
        <w:t>mail</w:t>
      </w:r>
      <w:proofErr w:type="spellEnd"/>
    </w:p>
    <w:p w14:paraId="23843E12" w14:textId="77777777" w:rsidR="001D6FA9" w:rsidRDefault="001D6FA9" w:rsidP="001D6FA9">
      <w:pPr>
        <w:jc w:val="both"/>
        <w:rPr>
          <w:sz w:val="20"/>
          <w:szCs w:val="20"/>
          <w:lang w:eastAsia="en-US"/>
        </w:rPr>
      </w:pPr>
      <w:r w:rsidRPr="00375E39">
        <w:rPr>
          <w:sz w:val="20"/>
          <w:szCs w:val="20"/>
          <w:lang w:eastAsia="en-US"/>
        </w:rPr>
        <w:t>Вахнина В</w:t>
      </w:r>
      <w:r>
        <w:rPr>
          <w:sz w:val="20"/>
          <w:szCs w:val="20"/>
          <w:lang w:eastAsia="en-US"/>
        </w:rPr>
        <w:t>ера Васильевна</w:t>
      </w:r>
      <w:r w:rsidRPr="00375E39">
        <w:rPr>
          <w:sz w:val="20"/>
          <w:szCs w:val="20"/>
          <w:lang w:eastAsia="en-US"/>
        </w:rPr>
        <w:t>,</w:t>
      </w:r>
      <w:r>
        <w:rPr>
          <w:sz w:val="20"/>
          <w:szCs w:val="20"/>
          <w:lang w:eastAsia="en-US"/>
        </w:rPr>
        <w:t xml:space="preserve"> Тольяттинский государственный университет, з</w:t>
      </w:r>
      <w:r w:rsidRPr="00DE7E39">
        <w:rPr>
          <w:sz w:val="20"/>
          <w:szCs w:val="20"/>
          <w:lang w:eastAsia="en-US"/>
        </w:rPr>
        <w:t>аведующий кафедрой</w:t>
      </w:r>
      <w:r>
        <w:rPr>
          <w:sz w:val="20"/>
          <w:szCs w:val="20"/>
          <w:lang w:eastAsia="en-US"/>
        </w:rPr>
        <w:t xml:space="preserve"> </w:t>
      </w:r>
      <w:r w:rsidRPr="00DE7E39">
        <w:rPr>
          <w:sz w:val="20"/>
          <w:szCs w:val="20"/>
          <w:lang w:eastAsia="en-US"/>
        </w:rPr>
        <w:t>"Электроснабжение и электротехника"</w:t>
      </w:r>
      <w:r>
        <w:rPr>
          <w:sz w:val="20"/>
          <w:szCs w:val="20"/>
          <w:lang w:eastAsia="en-US"/>
        </w:rPr>
        <w:t xml:space="preserve">, профессор, </w:t>
      </w:r>
      <w:r w:rsidRPr="00FC7726">
        <w:rPr>
          <w:sz w:val="20"/>
          <w:szCs w:val="20"/>
        </w:rPr>
        <w:t>e-</w:t>
      </w:r>
      <w:proofErr w:type="spellStart"/>
      <w:r w:rsidRPr="00FC7726">
        <w:rPr>
          <w:sz w:val="20"/>
          <w:szCs w:val="20"/>
        </w:rPr>
        <w:t>mail</w:t>
      </w:r>
      <w:proofErr w:type="spellEnd"/>
      <w:r>
        <w:rPr>
          <w:sz w:val="20"/>
          <w:szCs w:val="20"/>
        </w:rPr>
        <w:t xml:space="preserve">: </w:t>
      </w:r>
      <w:r w:rsidRPr="00DE7E39">
        <w:rPr>
          <w:sz w:val="20"/>
          <w:szCs w:val="20"/>
          <w:lang w:eastAsia="en-US"/>
        </w:rPr>
        <w:t>VVVahnina@yandex.ru</w:t>
      </w:r>
    </w:p>
    <w:p w14:paraId="234E0438" w14:textId="77777777" w:rsidR="001D6FA9" w:rsidRPr="00FC7726" w:rsidRDefault="001D6FA9" w:rsidP="001D6FA9">
      <w:pPr>
        <w:jc w:val="both"/>
        <w:rPr>
          <w:sz w:val="20"/>
          <w:szCs w:val="20"/>
          <w:lang w:eastAsia="en-US"/>
        </w:rPr>
      </w:pPr>
      <w:r w:rsidRPr="00375E39">
        <w:rPr>
          <w:sz w:val="20"/>
          <w:szCs w:val="20"/>
          <w:lang w:eastAsia="en-US"/>
        </w:rPr>
        <w:t>Кувшинов А</w:t>
      </w:r>
      <w:r>
        <w:rPr>
          <w:sz w:val="20"/>
          <w:szCs w:val="20"/>
          <w:lang w:eastAsia="en-US"/>
        </w:rPr>
        <w:t xml:space="preserve">лексей </w:t>
      </w:r>
      <w:r w:rsidRPr="00375E39">
        <w:rPr>
          <w:sz w:val="20"/>
          <w:szCs w:val="20"/>
          <w:lang w:eastAsia="en-US"/>
        </w:rPr>
        <w:t>А</w:t>
      </w:r>
      <w:r>
        <w:rPr>
          <w:sz w:val="20"/>
          <w:szCs w:val="20"/>
          <w:lang w:eastAsia="en-US"/>
        </w:rPr>
        <w:t>лексеевич</w:t>
      </w:r>
      <w:r w:rsidRPr="00375E39">
        <w:rPr>
          <w:sz w:val="20"/>
          <w:szCs w:val="20"/>
          <w:lang w:eastAsia="en-US"/>
        </w:rPr>
        <w:t>,</w:t>
      </w:r>
      <w:r>
        <w:rPr>
          <w:sz w:val="20"/>
          <w:szCs w:val="20"/>
          <w:lang w:eastAsia="en-US"/>
        </w:rPr>
        <w:t xml:space="preserve"> Тольяттинский государственный университет, п</w:t>
      </w:r>
      <w:r w:rsidRPr="00DE7E39">
        <w:rPr>
          <w:sz w:val="20"/>
          <w:szCs w:val="20"/>
          <w:lang w:eastAsia="en-US"/>
        </w:rPr>
        <w:t>рофессор</w:t>
      </w:r>
      <w:r>
        <w:rPr>
          <w:sz w:val="20"/>
          <w:szCs w:val="20"/>
          <w:lang w:eastAsia="en-US"/>
        </w:rPr>
        <w:t xml:space="preserve"> кафедры </w:t>
      </w:r>
      <w:r w:rsidRPr="00DE7E39">
        <w:rPr>
          <w:sz w:val="20"/>
          <w:szCs w:val="20"/>
          <w:lang w:eastAsia="en-US"/>
        </w:rPr>
        <w:t>"Электроснабжение и электротехника"</w:t>
      </w:r>
      <w:r>
        <w:rPr>
          <w:sz w:val="20"/>
          <w:szCs w:val="20"/>
          <w:lang w:eastAsia="en-US"/>
        </w:rPr>
        <w:t xml:space="preserve">, </w:t>
      </w:r>
      <w:r w:rsidRPr="00FC7726">
        <w:rPr>
          <w:sz w:val="20"/>
          <w:szCs w:val="20"/>
        </w:rPr>
        <w:t>e-</w:t>
      </w:r>
      <w:proofErr w:type="spellStart"/>
      <w:r w:rsidRPr="00FC7726">
        <w:rPr>
          <w:sz w:val="20"/>
          <w:szCs w:val="20"/>
        </w:rPr>
        <w:t>mail</w:t>
      </w:r>
      <w:proofErr w:type="spellEnd"/>
      <w:r>
        <w:rPr>
          <w:sz w:val="20"/>
          <w:szCs w:val="20"/>
        </w:rPr>
        <w:t xml:space="preserve">: </w:t>
      </w:r>
      <w:r w:rsidRPr="00DE7E39">
        <w:rPr>
          <w:sz w:val="20"/>
          <w:szCs w:val="20"/>
          <w:lang w:eastAsia="en-US"/>
        </w:rPr>
        <w:t>alekseikuvshinov@yandex.ru</w:t>
      </w:r>
    </w:p>
    <w:p w14:paraId="03049D5B" w14:textId="77777777" w:rsidR="001D6FA9" w:rsidRPr="00DE7E39" w:rsidRDefault="001D6FA9" w:rsidP="001D6FA9">
      <w:pPr>
        <w:jc w:val="both"/>
        <w:rPr>
          <w:sz w:val="20"/>
          <w:szCs w:val="20"/>
          <w:lang w:eastAsia="en-US"/>
        </w:rPr>
      </w:pPr>
      <w:r w:rsidRPr="00375E39">
        <w:rPr>
          <w:sz w:val="20"/>
          <w:szCs w:val="20"/>
          <w:lang w:eastAsia="en-US"/>
        </w:rPr>
        <w:t>Черненко А</w:t>
      </w:r>
      <w:r>
        <w:rPr>
          <w:sz w:val="20"/>
          <w:szCs w:val="20"/>
          <w:lang w:eastAsia="en-US"/>
        </w:rPr>
        <w:t xml:space="preserve">лексей </w:t>
      </w:r>
      <w:r w:rsidRPr="00375E39">
        <w:rPr>
          <w:sz w:val="20"/>
          <w:szCs w:val="20"/>
          <w:lang w:eastAsia="en-US"/>
        </w:rPr>
        <w:t>Н</w:t>
      </w:r>
      <w:r>
        <w:rPr>
          <w:sz w:val="20"/>
          <w:szCs w:val="20"/>
          <w:lang w:eastAsia="en-US"/>
        </w:rPr>
        <w:t>иколаевич</w:t>
      </w:r>
      <w:r w:rsidRPr="00375E39">
        <w:rPr>
          <w:sz w:val="20"/>
          <w:szCs w:val="20"/>
          <w:lang w:eastAsia="en-US"/>
        </w:rPr>
        <w:t xml:space="preserve">, </w:t>
      </w:r>
      <w:r>
        <w:rPr>
          <w:sz w:val="20"/>
          <w:szCs w:val="20"/>
          <w:lang w:eastAsia="en-US"/>
        </w:rPr>
        <w:t xml:space="preserve">Тольяттинский государственный университет, доцент кафедры </w:t>
      </w:r>
      <w:r w:rsidRPr="00DE7E39">
        <w:rPr>
          <w:sz w:val="20"/>
          <w:szCs w:val="20"/>
          <w:lang w:eastAsia="en-US"/>
        </w:rPr>
        <w:t>"Электроснабжение и электротехника"</w:t>
      </w:r>
      <w:r>
        <w:rPr>
          <w:sz w:val="20"/>
          <w:szCs w:val="20"/>
          <w:lang w:eastAsia="en-US"/>
        </w:rPr>
        <w:t xml:space="preserve">, </w:t>
      </w:r>
      <w:r w:rsidRPr="00FC7726">
        <w:rPr>
          <w:sz w:val="20"/>
          <w:szCs w:val="20"/>
        </w:rPr>
        <w:t>e-</w:t>
      </w:r>
      <w:proofErr w:type="spellStart"/>
      <w:r w:rsidRPr="00FC7726">
        <w:rPr>
          <w:sz w:val="20"/>
          <w:szCs w:val="20"/>
        </w:rPr>
        <w:t>mail</w:t>
      </w:r>
      <w:proofErr w:type="spellEnd"/>
      <w:r>
        <w:rPr>
          <w:sz w:val="20"/>
          <w:szCs w:val="20"/>
        </w:rPr>
        <w:t xml:space="preserve">: </w:t>
      </w:r>
      <w:proofErr w:type="spellStart"/>
      <w:r>
        <w:rPr>
          <w:sz w:val="20"/>
          <w:szCs w:val="20"/>
          <w:lang w:val="en-US" w:eastAsia="en-US"/>
        </w:rPr>
        <w:t>tchernenko</w:t>
      </w:r>
      <w:proofErr w:type="spellEnd"/>
      <w:r w:rsidRPr="00DE7E39">
        <w:rPr>
          <w:sz w:val="20"/>
          <w:szCs w:val="20"/>
          <w:lang w:eastAsia="en-US"/>
        </w:rPr>
        <w:t>83@</w:t>
      </w:r>
      <w:proofErr w:type="spellStart"/>
      <w:r>
        <w:rPr>
          <w:sz w:val="20"/>
          <w:szCs w:val="20"/>
          <w:lang w:val="en-US" w:eastAsia="en-US"/>
        </w:rPr>
        <w:t>yandex</w:t>
      </w:r>
      <w:proofErr w:type="spellEnd"/>
      <w:r w:rsidRPr="00DE7E39">
        <w:rPr>
          <w:sz w:val="20"/>
          <w:szCs w:val="20"/>
          <w:lang w:eastAsia="en-US"/>
        </w:rPr>
        <w:t>.</w:t>
      </w:r>
      <w:proofErr w:type="spellStart"/>
      <w:r>
        <w:rPr>
          <w:sz w:val="20"/>
          <w:szCs w:val="20"/>
          <w:lang w:val="en-US" w:eastAsia="en-US"/>
        </w:rPr>
        <w:t>ru</w:t>
      </w:r>
      <w:proofErr w:type="spellEnd"/>
    </w:p>
    <w:p w14:paraId="56696A7F" w14:textId="77777777" w:rsidR="007C506D" w:rsidRDefault="007C506D" w:rsidP="007C506D">
      <w:pPr>
        <w:jc w:val="both"/>
        <w:rPr>
          <w:sz w:val="20"/>
          <w:szCs w:val="20"/>
          <w:lang w:eastAsia="en-US"/>
        </w:rPr>
      </w:pPr>
      <w:proofErr w:type="spellStart"/>
      <w:r w:rsidRPr="00375E39">
        <w:rPr>
          <w:sz w:val="20"/>
          <w:szCs w:val="20"/>
          <w:lang w:eastAsia="en-US"/>
        </w:rPr>
        <w:t>Федяй</w:t>
      </w:r>
      <w:proofErr w:type="spellEnd"/>
      <w:r w:rsidRPr="00375E39">
        <w:rPr>
          <w:sz w:val="20"/>
          <w:szCs w:val="20"/>
          <w:lang w:eastAsia="en-US"/>
        </w:rPr>
        <w:t xml:space="preserve"> </w:t>
      </w:r>
      <w:bookmarkStart w:id="0" w:name="_GoBack"/>
      <w:bookmarkEnd w:id="0"/>
      <w:r w:rsidRPr="00375E39">
        <w:rPr>
          <w:sz w:val="20"/>
          <w:szCs w:val="20"/>
          <w:lang w:eastAsia="en-US"/>
        </w:rPr>
        <w:t>О</w:t>
      </w:r>
      <w:r>
        <w:rPr>
          <w:sz w:val="20"/>
          <w:szCs w:val="20"/>
          <w:lang w:eastAsia="en-US"/>
        </w:rPr>
        <w:t xml:space="preserve">лег </w:t>
      </w:r>
      <w:r w:rsidRPr="00375E39">
        <w:rPr>
          <w:sz w:val="20"/>
          <w:szCs w:val="20"/>
          <w:lang w:eastAsia="en-US"/>
        </w:rPr>
        <w:t>В</w:t>
      </w:r>
      <w:r>
        <w:rPr>
          <w:sz w:val="20"/>
          <w:szCs w:val="20"/>
          <w:lang w:eastAsia="en-US"/>
        </w:rPr>
        <w:t>алерьевич</w:t>
      </w:r>
      <w:r w:rsidRPr="00375E39">
        <w:rPr>
          <w:sz w:val="20"/>
          <w:szCs w:val="20"/>
          <w:lang w:eastAsia="en-US"/>
        </w:rPr>
        <w:t>,</w:t>
      </w:r>
      <w:r>
        <w:rPr>
          <w:sz w:val="20"/>
          <w:szCs w:val="20"/>
          <w:lang w:eastAsia="en-US"/>
        </w:rPr>
        <w:t xml:space="preserve"> Тольяттинский государственный университет, с</w:t>
      </w:r>
      <w:r w:rsidRPr="008F195D">
        <w:rPr>
          <w:sz w:val="20"/>
          <w:szCs w:val="20"/>
          <w:lang w:eastAsia="en-US"/>
        </w:rPr>
        <w:t>тарший преподаватель</w:t>
      </w:r>
      <w:r w:rsidRPr="00375E39">
        <w:rPr>
          <w:sz w:val="20"/>
          <w:szCs w:val="20"/>
          <w:lang w:eastAsia="en-US"/>
        </w:rPr>
        <w:t xml:space="preserve"> </w:t>
      </w:r>
      <w:r>
        <w:rPr>
          <w:sz w:val="20"/>
          <w:szCs w:val="20"/>
          <w:lang w:eastAsia="en-US"/>
        </w:rPr>
        <w:t xml:space="preserve">кафедры </w:t>
      </w:r>
      <w:r w:rsidRPr="00DE7E39">
        <w:rPr>
          <w:sz w:val="20"/>
          <w:szCs w:val="20"/>
          <w:lang w:eastAsia="en-US"/>
        </w:rPr>
        <w:t>"Электроснабжение и электротехника"</w:t>
      </w:r>
      <w:r>
        <w:rPr>
          <w:sz w:val="20"/>
          <w:szCs w:val="20"/>
          <w:lang w:eastAsia="en-US"/>
        </w:rPr>
        <w:t xml:space="preserve">, </w:t>
      </w:r>
      <w:r w:rsidRPr="00FC7726">
        <w:rPr>
          <w:sz w:val="20"/>
          <w:szCs w:val="20"/>
        </w:rPr>
        <w:t>e-</w:t>
      </w:r>
      <w:proofErr w:type="spellStart"/>
      <w:r w:rsidRPr="00FC7726">
        <w:rPr>
          <w:sz w:val="20"/>
          <w:szCs w:val="20"/>
        </w:rPr>
        <w:t>mail</w:t>
      </w:r>
      <w:proofErr w:type="spellEnd"/>
      <w:r>
        <w:rPr>
          <w:sz w:val="20"/>
          <w:szCs w:val="20"/>
        </w:rPr>
        <w:t xml:space="preserve">: </w:t>
      </w:r>
      <w:r w:rsidRPr="008F195D">
        <w:rPr>
          <w:sz w:val="20"/>
          <w:szCs w:val="20"/>
          <w:lang w:eastAsia="en-US"/>
        </w:rPr>
        <w:t>o.fedyai@yandex.ru</w:t>
      </w:r>
    </w:p>
    <w:p w14:paraId="63156AB2" w14:textId="77777777" w:rsidR="001D6FA9" w:rsidRPr="008F195D" w:rsidRDefault="001D6FA9" w:rsidP="001D6FA9">
      <w:pPr>
        <w:jc w:val="both"/>
        <w:rPr>
          <w:sz w:val="20"/>
          <w:szCs w:val="20"/>
        </w:rPr>
      </w:pPr>
      <w:proofErr w:type="spellStart"/>
      <w:r w:rsidRPr="00375E39">
        <w:rPr>
          <w:sz w:val="20"/>
          <w:szCs w:val="20"/>
          <w:lang w:eastAsia="en-US"/>
        </w:rPr>
        <w:t>Пудовинников</w:t>
      </w:r>
      <w:proofErr w:type="spellEnd"/>
      <w:r w:rsidRPr="00375E39">
        <w:rPr>
          <w:sz w:val="20"/>
          <w:szCs w:val="20"/>
          <w:lang w:eastAsia="en-US"/>
        </w:rPr>
        <w:t xml:space="preserve"> Р</w:t>
      </w:r>
      <w:r>
        <w:rPr>
          <w:sz w:val="20"/>
          <w:szCs w:val="20"/>
          <w:lang w:eastAsia="en-US"/>
        </w:rPr>
        <w:t xml:space="preserve">оман </w:t>
      </w:r>
      <w:r w:rsidRPr="00375E39">
        <w:rPr>
          <w:sz w:val="20"/>
          <w:szCs w:val="20"/>
          <w:lang w:eastAsia="en-US"/>
        </w:rPr>
        <w:t>Н</w:t>
      </w:r>
      <w:r>
        <w:rPr>
          <w:sz w:val="20"/>
          <w:szCs w:val="20"/>
          <w:lang w:eastAsia="en-US"/>
        </w:rPr>
        <w:t xml:space="preserve">иколаевич, Тольяттинский государственный университет, доцент кафедры </w:t>
      </w:r>
      <w:r w:rsidRPr="00DE7E39">
        <w:rPr>
          <w:sz w:val="20"/>
          <w:szCs w:val="20"/>
          <w:lang w:eastAsia="en-US"/>
        </w:rPr>
        <w:t>"Электроснабжение и электротехника"</w:t>
      </w:r>
      <w:r>
        <w:rPr>
          <w:sz w:val="20"/>
          <w:szCs w:val="20"/>
          <w:lang w:eastAsia="en-US"/>
        </w:rPr>
        <w:t>,</w:t>
      </w:r>
      <w:r w:rsidRPr="008F195D">
        <w:rPr>
          <w:sz w:val="20"/>
          <w:szCs w:val="20"/>
        </w:rPr>
        <w:t xml:space="preserve"> </w:t>
      </w:r>
      <w:r w:rsidRPr="00FC7726">
        <w:rPr>
          <w:sz w:val="20"/>
          <w:szCs w:val="20"/>
        </w:rPr>
        <w:t>e-</w:t>
      </w:r>
      <w:proofErr w:type="spellStart"/>
      <w:r w:rsidRPr="00FC7726">
        <w:rPr>
          <w:sz w:val="20"/>
          <w:szCs w:val="20"/>
        </w:rPr>
        <w:t>mail</w:t>
      </w:r>
      <w:proofErr w:type="spellEnd"/>
      <w:r>
        <w:rPr>
          <w:sz w:val="20"/>
          <w:szCs w:val="20"/>
        </w:rPr>
        <w:t xml:space="preserve">: </w:t>
      </w:r>
      <w:r w:rsidRPr="008F195D">
        <w:rPr>
          <w:sz w:val="20"/>
          <w:szCs w:val="20"/>
          <w:lang w:eastAsia="en-US"/>
        </w:rPr>
        <w:t>roman73-73@yandex.ru</w:t>
      </w:r>
    </w:p>
    <w:p w14:paraId="4F400EEE" w14:textId="77777777" w:rsidR="001D6FA9" w:rsidRPr="001D6FA9" w:rsidRDefault="001D6FA9" w:rsidP="00087DDB">
      <w:pPr>
        <w:jc w:val="both"/>
        <w:rPr>
          <w:lang w:eastAsia="en-US"/>
        </w:rPr>
      </w:pPr>
    </w:p>
    <w:sectPr w:rsidR="001D6FA9" w:rsidRPr="001D6FA9" w:rsidSect="00D03DC8">
      <w:pgSz w:w="11906" w:h="16838"/>
      <w:pgMar w:top="170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Bold">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FBA"/>
    <w:rsid w:val="0004436B"/>
    <w:rsid w:val="00044D8E"/>
    <w:rsid w:val="00046791"/>
    <w:rsid w:val="000529B2"/>
    <w:rsid w:val="00054625"/>
    <w:rsid w:val="0007688B"/>
    <w:rsid w:val="00084F94"/>
    <w:rsid w:val="00087DDB"/>
    <w:rsid w:val="000978D7"/>
    <w:rsid w:val="000C6BBC"/>
    <w:rsid w:val="000F5172"/>
    <w:rsid w:val="00136775"/>
    <w:rsid w:val="00167EF2"/>
    <w:rsid w:val="00175D50"/>
    <w:rsid w:val="001813CC"/>
    <w:rsid w:val="001B3B2D"/>
    <w:rsid w:val="001D313F"/>
    <w:rsid w:val="001D6FA9"/>
    <w:rsid w:val="00222307"/>
    <w:rsid w:val="002437C3"/>
    <w:rsid w:val="002D4E14"/>
    <w:rsid w:val="002E1EBB"/>
    <w:rsid w:val="00312D55"/>
    <w:rsid w:val="003447D0"/>
    <w:rsid w:val="00351FF2"/>
    <w:rsid w:val="003610FB"/>
    <w:rsid w:val="003764C7"/>
    <w:rsid w:val="003A242B"/>
    <w:rsid w:val="003F115A"/>
    <w:rsid w:val="0045068A"/>
    <w:rsid w:val="004615F4"/>
    <w:rsid w:val="0046336F"/>
    <w:rsid w:val="00487937"/>
    <w:rsid w:val="00505475"/>
    <w:rsid w:val="005A68BB"/>
    <w:rsid w:val="005E3042"/>
    <w:rsid w:val="0062665C"/>
    <w:rsid w:val="006B284C"/>
    <w:rsid w:val="006C4670"/>
    <w:rsid w:val="00714FBA"/>
    <w:rsid w:val="0076175E"/>
    <w:rsid w:val="007C17A7"/>
    <w:rsid w:val="007C506D"/>
    <w:rsid w:val="00841247"/>
    <w:rsid w:val="00841FA2"/>
    <w:rsid w:val="00916CCD"/>
    <w:rsid w:val="00917B43"/>
    <w:rsid w:val="009867F3"/>
    <w:rsid w:val="009C23AE"/>
    <w:rsid w:val="009C4484"/>
    <w:rsid w:val="00A511D9"/>
    <w:rsid w:val="00A97FCB"/>
    <w:rsid w:val="00AB14A5"/>
    <w:rsid w:val="00AC1C52"/>
    <w:rsid w:val="00AD08F6"/>
    <w:rsid w:val="00AF5FA8"/>
    <w:rsid w:val="00B16592"/>
    <w:rsid w:val="00B71ADA"/>
    <w:rsid w:val="00B86B08"/>
    <w:rsid w:val="00BA2754"/>
    <w:rsid w:val="00BA6E65"/>
    <w:rsid w:val="00BF1D80"/>
    <w:rsid w:val="00C03649"/>
    <w:rsid w:val="00C062BE"/>
    <w:rsid w:val="00C106E2"/>
    <w:rsid w:val="00C854E6"/>
    <w:rsid w:val="00C95BD3"/>
    <w:rsid w:val="00CC23C8"/>
    <w:rsid w:val="00CC6864"/>
    <w:rsid w:val="00CD361D"/>
    <w:rsid w:val="00CE3ACF"/>
    <w:rsid w:val="00D03DC8"/>
    <w:rsid w:val="00D170E0"/>
    <w:rsid w:val="00D21F07"/>
    <w:rsid w:val="00D55901"/>
    <w:rsid w:val="00D57899"/>
    <w:rsid w:val="00D6701F"/>
    <w:rsid w:val="00D737AB"/>
    <w:rsid w:val="00D8214C"/>
    <w:rsid w:val="00DB590B"/>
    <w:rsid w:val="00E21AE9"/>
    <w:rsid w:val="00E26685"/>
    <w:rsid w:val="00E52B9B"/>
    <w:rsid w:val="00EB7526"/>
    <w:rsid w:val="00ED72B4"/>
    <w:rsid w:val="00F117E1"/>
    <w:rsid w:val="00F36EC7"/>
    <w:rsid w:val="00F524EF"/>
    <w:rsid w:val="00F61318"/>
    <w:rsid w:val="00F86D1B"/>
    <w:rsid w:val="00F87EE5"/>
    <w:rsid w:val="00FF0E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97C8E"/>
  <w15:chartTrackingRefBased/>
  <w15:docId w15:val="{E330165D-78B4-4739-B7F8-127B17D91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4A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AB1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AB1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245587">
      <w:bodyDiv w:val="1"/>
      <w:marLeft w:val="0"/>
      <w:marRight w:val="0"/>
      <w:marTop w:val="0"/>
      <w:marBottom w:val="0"/>
      <w:divBdr>
        <w:top w:val="none" w:sz="0" w:space="0" w:color="auto"/>
        <w:left w:val="none" w:sz="0" w:space="0" w:color="auto"/>
        <w:bottom w:val="none" w:sz="0" w:space="0" w:color="auto"/>
        <w:right w:val="none" w:sz="0" w:space="0" w:color="auto"/>
      </w:divBdr>
    </w:div>
    <w:div w:id="25205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F9A05-B663-44FD-B162-51680DC00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2500</Words>
  <Characters>14256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SuperComp</dc:creator>
  <cp:keywords/>
  <dc:description/>
  <cp:lastModifiedBy>User</cp:lastModifiedBy>
  <cp:revision>4</cp:revision>
  <dcterms:created xsi:type="dcterms:W3CDTF">2026-06-05T07:31:00Z</dcterms:created>
  <dcterms:modified xsi:type="dcterms:W3CDTF">2026-06-08T11:33:00Z</dcterms:modified>
</cp:coreProperties>
</file>