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DPI14history"/>
        <w:bidi w:val="0"/>
        <w:spacing w:lineRule="auto" w:line="360" w:before="120" w:after="0"/>
        <w:jc w:val="center"/>
        <w:rPr>
          <w:highlight w:val="none"/>
          <w:shd w:fill="auto" w:val="clear"/>
        </w:rPr>
      </w:pPr>
      <w:r>
        <w:rPr>
          <w:rStyle w:val="Style14"/>
          <w:rFonts w:cs="Times New Roman" w:ascii="Times New Roman" w:hAnsi="Times New Roman"/>
          <w:sz w:val="28"/>
          <w:szCs w:val="28"/>
          <w:shd w:fill="auto" w:val="clear"/>
          <w:lang w:val="ru-RU"/>
        </w:rPr>
        <w:t>КОРРЕКЦИЯ ПАРАМЕТРОВ МОДЕЛИ NEQUICK2 В ЕВРОПЕЙСКОМ РЕГИОНЕ НА ОСНОВЕ ЭКСПЕРИМЕНТАЛЬНЫХ ДАННЫХ ВЕРТИКАЛЬНОГО ЗОНДИРОВАНИЯ И ГНСС ПРОСВЕЧИВАНИЯ</w:t>
      </w:r>
    </w:p>
    <w:p>
      <w:pPr>
        <w:pStyle w:val="Normal"/>
        <w:bidi w:val="0"/>
        <w:spacing w:lineRule="auto" w:line="360"/>
        <w:jc w:val="center"/>
        <w:rPr>
          <w:highlight w:val="none"/>
          <w:shd w:fill="auto" w:val="clear"/>
        </w:rPr>
      </w:pPr>
      <w:r>
        <w:rPr>
          <w:rStyle w:val="Style14"/>
          <w:rFonts w:cs="Times New Roman" w:ascii="Times New Roman" w:hAnsi="Times New Roman"/>
          <w:b w:val="false"/>
          <w:bCs w:val="false"/>
          <w:sz w:val="28"/>
          <w:szCs w:val="28"/>
          <w:shd w:fill="auto" w:val="clear"/>
          <w:lang w:val="ru-RU"/>
        </w:rPr>
        <w:t>Павлов И. А.</w:t>
      </w:r>
      <w:r>
        <w:rPr>
          <w:rStyle w:val="Style14"/>
          <w:rFonts w:cs="Times New Roman" w:ascii="Times New Roman" w:hAnsi="Times New Roman"/>
          <w:b w:val="false"/>
          <w:bCs w:val="false"/>
          <w:sz w:val="28"/>
          <w:szCs w:val="28"/>
          <w:shd w:fill="auto" w:val="clear"/>
          <w:vertAlign w:val="superscript"/>
          <w:lang w:val="ru-RU"/>
        </w:rPr>
        <w:t>1,2</w:t>
      </w:r>
      <w:r>
        <w:rPr>
          <w:rStyle w:val="Style14"/>
          <w:rFonts w:cs="Times New Roman" w:ascii="Times New Roman" w:hAnsi="Times New Roman"/>
          <w:b w:val="false"/>
          <w:bCs w:val="false"/>
          <w:sz w:val="28"/>
          <w:szCs w:val="28"/>
          <w:shd w:fill="auto" w:val="clear"/>
          <w:lang w:val="ru-RU"/>
        </w:rPr>
        <w:t>, Падохин А. М.</w:t>
      </w:r>
      <w:r>
        <w:rPr>
          <w:rStyle w:val="Style14"/>
          <w:rFonts w:cs="Times New Roman" w:ascii="Times New Roman" w:hAnsi="Times New Roman"/>
          <w:b w:val="false"/>
          <w:bCs w:val="false"/>
          <w:sz w:val="28"/>
          <w:szCs w:val="28"/>
          <w:shd w:fill="auto" w:val="clear"/>
          <w:vertAlign w:val="superscript"/>
          <w:lang w:val="ru-RU"/>
        </w:rPr>
        <w:t>1,2</w:t>
      </w:r>
    </w:p>
    <w:p>
      <w:pPr>
        <w:pStyle w:val="Normal"/>
        <w:bidi w:val="0"/>
        <w:spacing w:lineRule="auto" w:line="240" w:before="0" w:after="0"/>
        <w:jc w:val="both"/>
        <w:rPr>
          <w:rFonts w:ascii="Times New Roman" w:hAnsi="Times New Roman" w:cs="Times New Roman"/>
          <w:i/>
          <w:i/>
          <w:iCs/>
          <w:sz w:val="24"/>
          <w:szCs w:val="24"/>
        </w:rPr>
      </w:pPr>
      <w:r>
        <w:rPr>
          <w:rFonts w:cs="Times New Roman" w:ascii="Times New Roman" w:hAnsi="Times New Roman"/>
          <w:b w:val="false"/>
          <w:bCs w:val="false"/>
          <w:i/>
          <w:iCs/>
          <w:sz w:val="28"/>
          <w:szCs w:val="28"/>
          <w:vertAlign w:val="superscript"/>
          <w:lang w:val="ru-RU"/>
        </w:rPr>
        <w:t>1</w:t>
      </w:r>
      <w:r>
        <w:rPr>
          <w:rFonts w:cs="Times New Roman" w:ascii="Times New Roman" w:hAnsi="Times New Roman"/>
          <w:b w:val="false"/>
          <w:bCs w:val="false"/>
          <w:i/>
          <w:iCs/>
          <w:sz w:val="28"/>
          <w:szCs w:val="28"/>
          <w:lang w:val="ru-RU"/>
        </w:rPr>
        <w:t>ИЗМИРАН, г. Москва, г. Троицк, Россия</w:t>
      </w:r>
    </w:p>
    <w:p>
      <w:pPr>
        <w:pStyle w:val="Normal"/>
        <w:bidi w:val="0"/>
        <w:spacing w:lineRule="auto" w:line="240" w:before="0" w:after="0"/>
        <w:jc w:val="both"/>
        <w:rPr>
          <w:rFonts w:ascii="Times New Roman" w:hAnsi="Times New Roman" w:cs="Times New Roman"/>
          <w:i/>
          <w:i/>
          <w:iCs/>
          <w:sz w:val="24"/>
          <w:szCs w:val="24"/>
        </w:rPr>
      </w:pPr>
      <w:r>
        <w:rPr>
          <w:rStyle w:val="Style14"/>
          <w:rFonts w:cs="Times New Roman" w:ascii="Times New Roman" w:hAnsi="Times New Roman"/>
          <w:b w:val="false"/>
          <w:bCs w:val="false"/>
          <w:i/>
          <w:iCs/>
          <w:sz w:val="28"/>
          <w:szCs w:val="28"/>
          <w:shd w:fill="auto" w:val="clear"/>
          <w:vertAlign w:val="superscript"/>
          <w:lang w:val="ru-RU"/>
        </w:rPr>
        <w:t>2</w:t>
      </w:r>
      <w:r>
        <w:rPr>
          <w:rStyle w:val="Style14"/>
          <w:rFonts w:cs="Times New Roman" w:ascii="Times New Roman" w:hAnsi="Times New Roman"/>
          <w:b w:val="false"/>
          <w:bCs w:val="false"/>
          <w:i/>
          <w:iCs/>
          <w:sz w:val="28"/>
          <w:szCs w:val="28"/>
          <w:shd w:fill="auto" w:val="clear"/>
          <w:lang w:val="ru-RU"/>
        </w:rPr>
        <w:t>МГУ им. М.В. Ломоносова, г. Москва, Россия</w:t>
      </w:r>
    </w:p>
    <w:p>
      <w:pPr>
        <w:pStyle w:val="Normal"/>
        <w:bidi w:val="0"/>
        <w:jc w:val="left"/>
        <w:rPr>
          <w:sz w:val="28"/>
          <w:szCs w:val="28"/>
          <w:lang w:val="ru-RU"/>
        </w:rPr>
      </w:pPr>
      <w:r>
        <w:rPr>
          <w:sz w:val="28"/>
          <w:szCs w:val="28"/>
          <w:lang w:val="ru-RU"/>
        </w:rPr>
      </w:r>
    </w:p>
    <w:p>
      <w:pPr>
        <w:pStyle w:val="Normal"/>
        <w:bidi w:val="0"/>
        <w:jc w:val="left"/>
        <w:rPr>
          <w:sz w:val="28"/>
          <w:szCs w:val="28"/>
          <w:lang w:val="ru-RU"/>
        </w:rPr>
      </w:pPr>
      <w:r>
        <w:rPr>
          <w:sz w:val="28"/>
          <w:szCs w:val="28"/>
          <w:lang w:val="ru-RU"/>
        </w:rPr>
      </w:r>
    </w:p>
    <w:p>
      <w:pPr>
        <w:pStyle w:val="Style16"/>
        <w:bidi w:val="0"/>
        <w:spacing w:lineRule="auto" w:line="360" w:before="0" w:after="140"/>
        <w:jc w:val="left"/>
        <w:rPr>
          <w:highlight w:val="none"/>
          <w:shd w:fill="auto" w:val="clear"/>
        </w:rPr>
      </w:pPr>
      <w:r>
        <w:rPr>
          <w:rFonts w:ascii="Times New Roman" w:hAnsi="Times New Roman"/>
          <w:sz w:val="28"/>
          <w:szCs w:val="28"/>
          <w:shd w:fill="auto" w:val="clear"/>
          <w:lang w:val="ru-RU"/>
        </w:rPr>
        <w:t>Работа посвящена исследованию двух подходов к региональной коррекции модели NeQuick2. Первый основан на использовании данных ГНСС TEC и подборе соответствующего регионального распределения эффективного индекса F10.7, являющегося драйвером модели. Интерполяция значений эффективного параметра модели при этом происходит методом универсального кригинга. Второй подход основан на одноточечной коррекции одновременно по данным ГНСС и вертикального зондирования, при этом определяются оптимальные параметры высотного профиля</w:t>
      </w:r>
      <w:r>
        <w:rPr>
          <w:rFonts w:cs="Times New Roman" w:ascii="Times New Roman" w:hAnsi="Times New Roman"/>
          <w:sz w:val="28"/>
          <w:szCs w:val="28"/>
          <w:shd w:fill="auto" w:val="clear"/>
          <w:lang w:val="ru-RU"/>
        </w:rPr>
        <w:t xml:space="preserve"> электронной концентрации g и r выше максимума слоя F2, обеспечивающие согласие модельных оценок как параметров слоя F2 так и TEC с экспериментальными данными. В исследовании используются данные ГНСС сети EUREF и европейских ионозондов, входящих в сеть GIRO за весь 2018 год, характерный низкой солнечной активностью и слабовозмущенными геомагнитными условиями. Показано, что первый подход</w:t>
      </w:r>
      <w:r>
        <w:rPr>
          <w:rFonts w:eastAsia="SimSun" w:cs="Times New Roman" w:ascii="Times New Roman" w:hAnsi="Times New Roman"/>
          <w:b w:val="false"/>
          <w:sz w:val="28"/>
          <w:szCs w:val="28"/>
          <w:shd w:fill="auto" w:val="clear"/>
          <w:lang w:val="ru-RU" w:eastAsia="zh-CN"/>
        </w:rPr>
        <w:t xml:space="preserve"> приводит к систематической переоценке критической частоты </w:t>
      </w:r>
      <w:r>
        <w:rPr>
          <w:rFonts w:eastAsia="SimSun" w:cs="Times New Roman" w:ascii="Times New Roman" w:hAnsi="Times New Roman"/>
          <w:b w:val="false"/>
          <w:i/>
          <w:iCs/>
          <w:sz w:val="28"/>
          <w:szCs w:val="28"/>
          <w:shd w:fill="auto" w:val="clear"/>
          <w:lang w:val="ru-RU" w:eastAsia="zh-CN"/>
        </w:rPr>
        <w:t>f</w:t>
      </w:r>
      <w:r>
        <w:rPr>
          <w:rFonts w:eastAsia="SimSun" w:cs="Times New Roman" w:ascii="Times New Roman" w:hAnsi="Times New Roman"/>
          <w:b w:val="false"/>
          <w:i/>
          <w:iCs/>
          <w:sz w:val="28"/>
          <w:szCs w:val="28"/>
          <w:shd w:fill="auto" w:val="clear"/>
          <w:vertAlign w:val="subscript"/>
          <w:lang w:val="ru-RU" w:eastAsia="zh-CN"/>
        </w:rPr>
        <w:t>O</w:t>
      </w:r>
      <w:r>
        <w:rPr>
          <w:rFonts w:eastAsia="SimSun" w:cs="Times New Roman" w:ascii="Times New Roman" w:hAnsi="Times New Roman"/>
          <w:b w:val="false"/>
          <w:i/>
          <w:iCs/>
          <w:sz w:val="28"/>
          <w:szCs w:val="28"/>
          <w:shd w:fill="auto" w:val="clear"/>
          <w:lang w:val="ru-RU" w:eastAsia="zh-CN"/>
        </w:rPr>
        <w:t>F2</w:t>
      </w:r>
      <w:r>
        <w:rPr>
          <w:rFonts w:eastAsia="SimSun" w:cs="Times New Roman" w:ascii="Times New Roman" w:hAnsi="Times New Roman"/>
          <w:b w:val="false"/>
          <w:sz w:val="28"/>
          <w:szCs w:val="28"/>
          <w:shd w:fill="auto" w:val="clear"/>
          <w:lang w:val="ru-RU" w:eastAsia="zh-CN"/>
        </w:rPr>
        <w:t xml:space="preserve"> в скорректированной модели, хотя и с уменьшением дисперсии относительно нескорректированной модели. Это происходит из-за недостатков параметризации высотного профиля электронной концентрации выше максимума F2-слоя, который вносит основной вклад в наблюдаемые значения TEC. С использованием совместных данных ГНСС и ионозондов показано, что оптимальные параметры g и r, описывающие эту область в модели NeQuick2, имеют ярко выраженный суточный и сезонный ход, в отличие от своих постоянных значений, используемых в модели по умолчанию.</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Palatino Linotype">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8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ru-RU" w:eastAsia="zh-CN" w:bidi="hi-IN"/>
    </w:rPr>
  </w:style>
  <w:style w:type="character" w:styleId="Style14">
    <w:name w:val="Выделение жирным"/>
    <w:qFormat/>
    <w:rPr>
      <w:b/>
      <w:bCs/>
    </w:rPr>
  </w:style>
  <w:style w:type="paragraph" w:styleId="Style15">
    <w:name w:val="Заголовок"/>
    <w:basedOn w:val="Normal"/>
    <w:next w:val="Style16"/>
    <w:qFormat/>
    <w:pPr>
      <w:keepNext w:val="true"/>
      <w:spacing w:before="240" w:after="120"/>
    </w:pPr>
    <w:rPr>
      <w:rFonts w:ascii="Liberation Sans" w:hAnsi="Liberation Sans" w:eastAsia="Noto Sans CJK SC"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MDPI12title">
    <w:name w:val="MDPI_1.2_title"/>
    <w:next w:val="MDPI13authornames"/>
    <w:qFormat/>
    <w:pPr>
      <w:widowControl/>
      <w:suppressAutoHyphens w:val="true"/>
      <w:overflowPunct w:val="true"/>
      <w:bidi w:val="0"/>
      <w:snapToGrid w:val="false"/>
      <w:spacing w:lineRule="exact" w:line="400" w:before="0" w:after="240"/>
      <w:jc w:val="left"/>
    </w:pPr>
    <w:rPr>
      <w:rFonts w:ascii="Palatino Linotype" w:hAnsi="Palatino Linotype" w:eastAsia="Times New Roman" w:cs="Times New Roman"/>
      <w:b/>
      <w:color w:val="000000"/>
      <w:kern w:val="0"/>
      <w:sz w:val="36"/>
      <w:szCs w:val="20"/>
      <w:lang w:val="ru-RU" w:eastAsia="de-DE" w:bidi="en-US"/>
    </w:rPr>
  </w:style>
  <w:style w:type="paragraph" w:styleId="MDPI13authornames">
    <w:name w:val="MDPI_1.3_authornames"/>
    <w:basedOn w:val="Normal"/>
    <w:next w:val="MDPI14history"/>
    <w:qFormat/>
    <w:pPr>
      <w:widowControl/>
      <w:snapToGrid w:val="false"/>
      <w:spacing w:lineRule="atLeast" w:line="260" w:before="0" w:after="120"/>
      <w:jc w:val="left"/>
    </w:pPr>
    <w:rPr>
      <w:rFonts w:ascii="Palatino Linotype" w:hAnsi="Palatino Linotype" w:eastAsia="Times New Roman" w:cs="Times New Roman"/>
      <w:b/>
      <w:color w:val="000000"/>
      <w:kern w:val="0"/>
      <w:sz w:val="20"/>
      <w:lang w:eastAsia="de-DE" w:bidi="en-US"/>
    </w:rPr>
  </w:style>
  <w:style w:type="paragraph" w:styleId="MDPI14history">
    <w:name w:val="MDPI_1.4_history"/>
    <w:basedOn w:val="Normal"/>
    <w:next w:val="Normal"/>
    <w:qFormat/>
    <w:pPr>
      <w:widowControl/>
      <w:snapToGrid w:val="false"/>
      <w:spacing w:lineRule="atLeast" w:line="200" w:before="120" w:after="0"/>
      <w:ind w:left="113" w:right="0" w:hanging="0"/>
      <w:jc w:val="left"/>
    </w:pPr>
    <w:rPr>
      <w:rFonts w:ascii="Palatino Linotype" w:hAnsi="Palatino Linotype" w:eastAsia="Times New Roman" w:cs="Times New Roman"/>
      <w:color w:val="000000"/>
      <w:kern w:val="0"/>
      <w:sz w:val="18"/>
      <w:szCs w:val="20"/>
      <w:lang w:eastAsia="de-DE" w:bidi="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LibreOffice/7.3.7.2$Linux_X86_64 LibreOffice_project/30$Build-2</Application>
  <AppVersion>15.0000</AppVersion>
  <Pages>1</Pages>
  <Words>223</Words>
  <Characters>1543</Characters>
  <CharactersWithSpaces>1761</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2026-02-06T14:35:44Z</dcterms:created>
  <dc:creator/>
  <dc:description/>
  <dc:language>ru-RU</dc:language>
  <cp:lastModifiedBy/>
  <dcterms:modified xsi:type="dcterms:W3CDTF">2026-02-06T14:45:35Z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