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5F2" w14:textId="1D7D9883" w:rsidR="00E13F10" w:rsidRDefault="00E13F10" w:rsidP="00E13F10">
      <w:pPr>
        <w:pStyle w:val="Heading1"/>
      </w:pPr>
      <w:r w:rsidRPr="00E13F10">
        <w:t xml:space="preserve">Differentiation of </w:t>
      </w:r>
      <w:r>
        <w:t>C</w:t>
      </w:r>
      <w:r w:rsidRPr="00E13F10">
        <w:t xml:space="preserve">oronal </w:t>
      </w:r>
      <w:r>
        <w:t>H</w:t>
      </w:r>
      <w:r w:rsidRPr="00E13F10">
        <w:t xml:space="preserve">oles and </w:t>
      </w:r>
      <w:r>
        <w:t>F</w:t>
      </w:r>
      <w:r w:rsidRPr="00E13F10">
        <w:t>ilaments with AIA 304</w:t>
      </w:r>
      <w:r w:rsidRPr="00E13F10">
        <w:rPr>
          <w:rFonts w:ascii="Cambria Math" w:hAnsi="Cambria Math" w:cs="Cambria Math"/>
        </w:rPr>
        <w:t>Å</w:t>
      </w:r>
      <w:r w:rsidRPr="00E13F10">
        <w:t xml:space="preserve"> and HMI Data</w:t>
      </w:r>
    </w:p>
    <w:p w14:paraId="13291AA5" w14:textId="7BDC1D2D" w:rsidR="00E13F10" w:rsidRDefault="00E13F10" w:rsidP="00E13F10">
      <w:pPr>
        <w:rPr>
          <w:vertAlign w:val="superscript"/>
        </w:rPr>
      </w:pPr>
      <w:r>
        <w:t>A. Shiryaev</w:t>
      </w:r>
      <w:r w:rsidRPr="00E13F10">
        <w:rPr>
          <w:vertAlign w:val="superscript"/>
        </w:rPr>
        <w:t>1,2</w:t>
      </w:r>
      <w:r>
        <w:t>, K. Kaportseva</w:t>
      </w:r>
      <w:r w:rsidRPr="00E13F10">
        <w:rPr>
          <w:vertAlign w:val="superscript"/>
        </w:rPr>
        <w:t>1</w:t>
      </w:r>
      <w:r>
        <w:t>, Yu. Shugay</w:t>
      </w:r>
      <w:r w:rsidRPr="00E13F10">
        <w:rPr>
          <w:vertAlign w:val="superscript"/>
        </w:rPr>
        <w:t>1</w:t>
      </w:r>
    </w:p>
    <w:p w14:paraId="3929451C" w14:textId="0E21C7C1" w:rsidR="00E13F10" w:rsidRPr="00E13F10" w:rsidRDefault="00E13F10" w:rsidP="00E13F10">
      <w:r>
        <w:rPr>
          <w:vertAlign w:val="superscript"/>
        </w:rPr>
        <w:t xml:space="preserve">1 </w:t>
      </w:r>
      <w:r>
        <w:t xml:space="preserve">Space Physics Laboratory SINP MSU </w:t>
      </w:r>
      <w:r w:rsidRPr="00E13F10">
        <w:rPr>
          <w:vertAlign w:val="superscript"/>
        </w:rPr>
        <w:t>2</w:t>
      </w:r>
      <w:r>
        <w:t xml:space="preserve"> Space Research Faculty SINP MSU</w:t>
      </w:r>
    </w:p>
    <w:p w14:paraId="32812008" w14:textId="77777777" w:rsidR="00E13F10" w:rsidRDefault="00E13F10" w:rsidP="00E13F10"/>
    <w:p w14:paraId="71CAD02D" w14:textId="528E77E2" w:rsidR="00E13F10" w:rsidRPr="00E13F10" w:rsidRDefault="00E13F10" w:rsidP="006633BC">
      <w:pPr>
        <w:jc w:val="both"/>
      </w:pPr>
      <w:r w:rsidRPr="00E13F10">
        <w:t xml:space="preserve">Coronal holes are sources of quasi-stationary high-speed solar wind streams with typical velocities of about 500–800 km/s </w:t>
      </w:r>
      <w:r w:rsidR="00F3547B" w:rsidRPr="00F3547B">
        <w:t>[Veselovsky 2010]</w:t>
      </w:r>
      <w:r w:rsidRPr="00E13F10">
        <w:t>. Long-lived coronal holes lead to the formation of stream interaction regions (SIRs/CIRs), which are characterized by enhanced plasma density and can cause moderate geomagnetic disturbances and recurrent geomagnetic storms.</w:t>
      </w:r>
    </w:p>
    <w:p w14:paraId="1F2D7890" w14:textId="1238AEB8" w:rsidR="00E13F10" w:rsidRPr="00E13F10" w:rsidRDefault="00E13F10" w:rsidP="006633BC">
      <w:pPr>
        <w:jc w:val="both"/>
      </w:pPr>
      <w:r w:rsidRPr="00E13F10">
        <w:t>The association between coronal holes and high-speed solar wind streams makes it possible to use coronal</w:t>
      </w:r>
      <w:r>
        <w:t xml:space="preserve"> </w:t>
      </w:r>
      <w:r w:rsidRPr="00E13F10">
        <w:t>hole area to estimate the solar wind speed near</w:t>
      </w:r>
      <w:r>
        <w:t xml:space="preserve"> </w:t>
      </w:r>
      <w:r w:rsidRPr="00E13F10">
        <w:t>Earth</w:t>
      </w:r>
      <w:r w:rsidR="00F3547B">
        <w:t xml:space="preserve"> </w:t>
      </w:r>
      <w:r w:rsidR="00F3547B" w:rsidRPr="00F3547B">
        <w:t>[</w:t>
      </w:r>
      <w:proofErr w:type="spellStart"/>
      <w:r w:rsidR="00F3547B" w:rsidRPr="00F3547B">
        <w:t>Shugai</w:t>
      </w:r>
      <w:proofErr w:type="spellEnd"/>
      <w:r w:rsidR="00F3547B" w:rsidRPr="00F3547B">
        <w:t xml:space="preserve"> 2021]</w:t>
      </w:r>
      <w:r w:rsidRPr="00E13F10">
        <w:t xml:space="preserve">. Identifying coronal-hole boundaries and estimating their areas requires segmentation of solar images acquired in the 193 Å and 211 Å channels of the SDO/AIA observatory. In these wavelength ranges, coronal holes appear as regions of reduced intensity </w:t>
      </w:r>
      <w:r w:rsidR="00F3547B" w:rsidRPr="00F3547B">
        <w:t>[Garton et al. 2018; Heinemann et al. 2019</w:t>
      </w:r>
      <w:r w:rsidR="00F3547B">
        <w:t>]</w:t>
      </w:r>
      <w:r w:rsidRPr="00E13F10">
        <w:t>. Because solar filaments also appear as dark structures in images at these wavelengths, the development of methods to discriminate between filaments and coronal holes can improve the accuracy of coronal-hole boundary determination.</w:t>
      </w:r>
    </w:p>
    <w:p w14:paraId="257C0BA1" w14:textId="13D99487" w:rsidR="00E13F10" w:rsidRPr="00E13F10" w:rsidRDefault="00E13F10" w:rsidP="006633BC">
      <w:pPr>
        <w:jc w:val="both"/>
      </w:pPr>
      <w:r w:rsidRPr="00E13F10">
        <w:t xml:space="preserve">Filaments absorb and resonantly scatter radiation in the He II emission line </w:t>
      </w:r>
      <w:r w:rsidR="00F3547B">
        <w:t>[</w:t>
      </w:r>
      <w:r w:rsidR="00F3547B" w:rsidRPr="00F3547B">
        <w:t>Garton et al. 2018</w:t>
      </w:r>
      <w:r w:rsidR="00F3547B">
        <w:t>]</w:t>
      </w:r>
      <w:r w:rsidRPr="00E13F10">
        <w:t>, and therefore appear as dark regions in images at 304 Å. Since emission at this wavelength originates in the chromosphere, the presence of coronal holes does not suppress its intensity, and coronal holes do not appear as dark regions in images at this wavelength.</w:t>
      </w:r>
    </w:p>
    <w:p w14:paraId="28D7E357" w14:textId="62EBA01B" w:rsidR="00E13F10" w:rsidRPr="00E13F10" w:rsidRDefault="00E13F10" w:rsidP="006633BC">
      <w:pPr>
        <w:jc w:val="both"/>
      </w:pPr>
      <w:r w:rsidRPr="00E13F10">
        <w:t xml:space="preserve">Magnetograms provide an additional source of information on coronal holes. Coronal holes correspond to regions of open solar magnetic field lines and are characterized by a predominantly unipolar magnetic field </w:t>
      </w:r>
      <w:r w:rsidR="00F3547B" w:rsidRPr="00F3547B">
        <w:t>[Zhang et al. 2003]</w:t>
      </w:r>
      <w:r w:rsidRPr="00E13F10">
        <w:t>. Solar filaments are oriented along magnetic polarity inversion lines, whose locations can be identified from HMI magnetograms.</w:t>
      </w:r>
    </w:p>
    <w:p w14:paraId="7D394E14" w14:textId="5371ECC5" w:rsidR="00E13F10" w:rsidRDefault="00E13F10" w:rsidP="006633BC">
      <w:pPr>
        <w:jc w:val="both"/>
      </w:pPr>
      <w:r w:rsidRPr="00E13F10">
        <w:t>This work presents results of applying these methods to exclude filaments during the automatic determination of coronal</w:t>
      </w:r>
      <w:r w:rsidR="00F3547B">
        <w:t xml:space="preserve"> </w:t>
      </w:r>
      <w:r w:rsidRPr="00E13F10">
        <w:t>hole boundaries. The impact of filament exclusion on the accuracy of solar wind speed prediction based on coronal-hole area is evaluated.</w:t>
      </w:r>
    </w:p>
    <w:p w14:paraId="5B74A9A3" w14:textId="77777777" w:rsidR="00F3547B" w:rsidRPr="00F3547B" w:rsidRDefault="00F3547B" w:rsidP="006633BC">
      <w:pPr>
        <w:jc w:val="both"/>
        <w:rPr>
          <w:sz w:val="32"/>
          <w:szCs w:val="32"/>
        </w:rPr>
      </w:pPr>
    </w:p>
    <w:p w14:paraId="74723982" w14:textId="335AB7A5" w:rsidR="00F3547B" w:rsidRPr="00F3547B" w:rsidRDefault="00F3547B" w:rsidP="00F3547B">
      <w:pPr>
        <w:rPr>
          <w:rStyle w:val="SubtleEmphasis"/>
          <w:i w:val="0"/>
          <w:iCs w:val="0"/>
          <w:sz w:val="21"/>
          <w:szCs w:val="21"/>
        </w:rPr>
      </w:pPr>
      <w:r w:rsidRPr="00F3547B">
        <w:rPr>
          <w:rStyle w:val="SubtleEmphasis"/>
          <w:i w:val="0"/>
          <w:iCs w:val="0"/>
          <w:sz w:val="21"/>
          <w:szCs w:val="21"/>
        </w:rPr>
        <w:t>Veselovsky, I. S., A. V. Dmitriev, and A. V. Suvorova. 2010. “Algebra and Statistics of the Solar Wind.” Cosmic Research 48 (2): 113–28.</w:t>
      </w:r>
    </w:p>
    <w:p w14:paraId="1015478A" w14:textId="7204BE35" w:rsidR="00F3547B" w:rsidRPr="00F3547B" w:rsidRDefault="00F3547B" w:rsidP="00F3547B">
      <w:pPr>
        <w:rPr>
          <w:rStyle w:val="SubtleEmphasis"/>
          <w:i w:val="0"/>
          <w:iCs w:val="0"/>
          <w:sz w:val="21"/>
          <w:szCs w:val="21"/>
        </w:rPr>
      </w:pPr>
      <w:proofErr w:type="spellStart"/>
      <w:r w:rsidRPr="00F3547B">
        <w:rPr>
          <w:rStyle w:val="SubtleEmphasis"/>
          <w:i w:val="0"/>
          <w:iCs w:val="0"/>
          <w:sz w:val="21"/>
          <w:szCs w:val="21"/>
        </w:rPr>
        <w:t>Shugai</w:t>
      </w:r>
      <w:proofErr w:type="spellEnd"/>
      <w:r w:rsidRPr="00F3547B">
        <w:rPr>
          <w:rStyle w:val="SubtleEmphasis"/>
          <w:i w:val="0"/>
          <w:iCs w:val="0"/>
          <w:sz w:val="21"/>
          <w:szCs w:val="21"/>
        </w:rPr>
        <w:t xml:space="preserve">, Yu. S. 2021. “Analysis of </w:t>
      </w:r>
      <w:proofErr w:type="spellStart"/>
      <w:r w:rsidRPr="00F3547B">
        <w:rPr>
          <w:rStyle w:val="SubtleEmphasis"/>
          <w:i w:val="0"/>
          <w:iCs w:val="0"/>
          <w:sz w:val="21"/>
          <w:szCs w:val="21"/>
        </w:rPr>
        <w:t>Quasistationary</w:t>
      </w:r>
      <w:proofErr w:type="spellEnd"/>
      <w:r w:rsidRPr="00F3547B">
        <w:rPr>
          <w:rStyle w:val="SubtleEmphasis"/>
          <w:i w:val="0"/>
          <w:iCs w:val="0"/>
          <w:sz w:val="21"/>
          <w:szCs w:val="21"/>
        </w:rPr>
        <w:t xml:space="preserve"> Solar Wind Stream Forecasts for 2010–2019.” Russian Meteorology and Hydrology 46 (3): 172–78.</w:t>
      </w:r>
    </w:p>
    <w:p w14:paraId="3BB5B83B" w14:textId="0B278CEB" w:rsidR="00F3547B" w:rsidRPr="00F3547B" w:rsidRDefault="00F3547B" w:rsidP="00F3547B">
      <w:pPr>
        <w:rPr>
          <w:rStyle w:val="SubtleEmphasis"/>
          <w:i w:val="0"/>
          <w:iCs w:val="0"/>
          <w:sz w:val="21"/>
          <w:szCs w:val="21"/>
        </w:rPr>
      </w:pPr>
      <w:r w:rsidRPr="00F3547B">
        <w:rPr>
          <w:rStyle w:val="SubtleEmphasis"/>
          <w:i w:val="0"/>
          <w:iCs w:val="0"/>
          <w:sz w:val="21"/>
          <w:szCs w:val="21"/>
        </w:rPr>
        <w:t>Garton, T. M., P. T. Gallagher, and S. A. Murray. 2018. “Automated Coronal Hole Identification via Multi-thermal Intensity Segmentation.” Journal of Space Weather and Space Climate 8: A02.</w:t>
      </w:r>
    </w:p>
    <w:p w14:paraId="7A938D51" w14:textId="681B1B50" w:rsidR="00F3547B" w:rsidRPr="00F3547B" w:rsidRDefault="00F3547B" w:rsidP="00F3547B">
      <w:pPr>
        <w:rPr>
          <w:rStyle w:val="SubtleEmphasis"/>
          <w:i w:val="0"/>
          <w:iCs w:val="0"/>
          <w:sz w:val="21"/>
          <w:szCs w:val="21"/>
        </w:rPr>
      </w:pPr>
      <w:r w:rsidRPr="00F3547B">
        <w:rPr>
          <w:rStyle w:val="SubtleEmphasis"/>
          <w:i w:val="0"/>
          <w:iCs w:val="0"/>
          <w:sz w:val="21"/>
          <w:szCs w:val="21"/>
        </w:rPr>
        <w:t>Heinemann, S. G., et al. 2019. “CME–HSS Interaction and Characteristics Tracked from Sun to Earth.” Solar Physics 294 (9): 121.</w:t>
      </w:r>
    </w:p>
    <w:p w14:paraId="0E0C826E" w14:textId="75E5DD11" w:rsidR="00F3547B" w:rsidRPr="00F3547B" w:rsidRDefault="00F3547B" w:rsidP="00F3547B">
      <w:pPr>
        <w:rPr>
          <w:rStyle w:val="SubtleEmphasis"/>
          <w:i w:val="0"/>
          <w:iCs w:val="0"/>
          <w:sz w:val="21"/>
          <w:szCs w:val="21"/>
        </w:rPr>
      </w:pPr>
      <w:r w:rsidRPr="00F3547B">
        <w:rPr>
          <w:rStyle w:val="SubtleEmphasis"/>
          <w:i w:val="0"/>
          <w:iCs w:val="0"/>
          <w:sz w:val="21"/>
          <w:szCs w:val="21"/>
        </w:rPr>
        <w:t>Parenti, S. 2014. “Solar Prominences: Observations.” Living Reviews in Solar Physics 11.</w:t>
      </w:r>
    </w:p>
    <w:p w14:paraId="10F47DE5" w14:textId="4A92ABDA" w:rsidR="00F3547B" w:rsidRPr="00F3547B" w:rsidRDefault="00F3547B" w:rsidP="00F3547B">
      <w:pPr>
        <w:rPr>
          <w:rStyle w:val="SubtleEmphasis"/>
          <w:i w:val="0"/>
          <w:iCs w:val="0"/>
          <w:sz w:val="21"/>
          <w:szCs w:val="21"/>
        </w:rPr>
      </w:pPr>
      <w:r w:rsidRPr="00F3547B">
        <w:rPr>
          <w:rStyle w:val="SubtleEmphasis"/>
          <w:i w:val="0"/>
          <w:iCs w:val="0"/>
          <w:sz w:val="21"/>
          <w:szCs w:val="21"/>
        </w:rPr>
        <w:t>Zhang, J., et al. 2003. “Interplanetary and Solar Surface Properties of Coronal Holes Observed during Solar Maximum.” Journal of Geophysical Research: Space Physics 108 (A4): 2002JA009538.</w:t>
      </w:r>
    </w:p>
    <w:p w14:paraId="0D34C059" w14:textId="77777777" w:rsidR="00E13F10" w:rsidRPr="00E13F10" w:rsidRDefault="00E13F10" w:rsidP="006633BC">
      <w:pPr>
        <w:jc w:val="both"/>
      </w:pPr>
    </w:p>
    <w:sectPr w:rsidR="00E13F10" w:rsidRPr="00E13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75F"/>
    <w:multiLevelType w:val="hybridMultilevel"/>
    <w:tmpl w:val="57EEC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470D9"/>
    <w:multiLevelType w:val="hybridMultilevel"/>
    <w:tmpl w:val="2BD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750110">
    <w:abstractNumId w:val="0"/>
  </w:num>
  <w:num w:numId="2" w16cid:durableId="138794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10"/>
    <w:rsid w:val="006633BC"/>
    <w:rsid w:val="009D6F5C"/>
    <w:rsid w:val="00E13F10"/>
    <w:rsid w:val="00F3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4BFC3"/>
  <w15:chartTrackingRefBased/>
  <w15:docId w15:val="{25378E65-CFE6-9E4A-A87C-788FEDDD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F10"/>
    <w:rPr>
      <w:rFonts w:eastAsiaTheme="majorEastAsia" w:cstheme="majorBidi"/>
      <w:color w:val="272727" w:themeColor="text1" w:themeTint="D8"/>
    </w:rPr>
  </w:style>
  <w:style w:type="paragraph" w:styleId="Title">
    <w:name w:val="Title"/>
    <w:basedOn w:val="Normal"/>
    <w:next w:val="Normal"/>
    <w:link w:val="TitleChar"/>
    <w:uiPriority w:val="10"/>
    <w:qFormat/>
    <w:rsid w:val="00E13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F10"/>
    <w:pPr>
      <w:spacing w:before="160"/>
      <w:jc w:val="center"/>
    </w:pPr>
    <w:rPr>
      <w:i/>
      <w:iCs/>
      <w:color w:val="404040" w:themeColor="text1" w:themeTint="BF"/>
    </w:rPr>
  </w:style>
  <w:style w:type="character" w:customStyle="1" w:styleId="QuoteChar">
    <w:name w:val="Quote Char"/>
    <w:basedOn w:val="DefaultParagraphFont"/>
    <w:link w:val="Quote"/>
    <w:uiPriority w:val="29"/>
    <w:rsid w:val="00E13F10"/>
    <w:rPr>
      <w:i/>
      <w:iCs/>
      <w:color w:val="404040" w:themeColor="text1" w:themeTint="BF"/>
    </w:rPr>
  </w:style>
  <w:style w:type="paragraph" w:styleId="ListParagraph">
    <w:name w:val="List Paragraph"/>
    <w:basedOn w:val="Normal"/>
    <w:uiPriority w:val="34"/>
    <w:qFormat/>
    <w:rsid w:val="00E13F10"/>
    <w:pPr>
      <w:ind w:left="720"/>
      <w:contextualSpacing/>
    </w:pPr>
  </w:style>
  <w:style w:type="character" w:styleId="IntenseEmphasis">
    <w:name w:val="Intense Emphasis"/>
    <w:basedOn w:val="DefaultParagraphFont"/>
    <w:uiPriority w:val="21"/>
    <w:qFormat/>
    <w:rsid w:val="00E13F10"/>
    <w:rPr>
      <w:i/>
      <w:iCs/>
      <w:color w:val="0F4761" w:themeColor="accent1" w:themeShade="BF"/>
    </w:rPr>
  </w:style>
  <w:style w:type="paragraph" w:styleId="IntenseQuote">
    <w:name w:val="Intense Quote"/>
    <w:basedOn w:val="Normal"/>
    <w:next w:val="Normal"/>
    <w:link w:val="IntenseQuoteChar"/>
    <w:uiPriority w:val="30"/>
    <w:qFormat/>
    <w:rsid w:val="00E13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F10"/>
    <w:rPr>
      <w:i/>
      <w:iCs/>
      <w:color w:val="0F4761" w:themeColor="accent1" w:themeShade="BF"/>
    </w:rPr>
  </w:style>
  <w:style w:type="character" w:styleId="IntenseReference">
    <w:name w:val="Intense Reference"/>
    <w:basedOn w:val="DefaultParagraphFont"/>
    <w:uiPriority w:val="32"/>
    <w:qFormat/>
    <w:rsid w:val="00E13F10"/>
    <w:rPr>
      <w:b/>
      <w:bCs/>
      <w:smallCaps/>
      <w:color w:val="0F4761" w:themeColor="accent1" w:themeShade="BF"/>
      <w:spacing w:val="5"/>
    </w:rPr>
  </w:style>
  <w:style w:type="paragraph" w:customStyle="1" w:styleId="p1">
    <w:name w:val="p1"/>
    <w:basedOn w:val="Normal"/>
    <w:rsid w:val="00F354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F354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F3547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Shiryaev</dc:creator>
  <cp:keywords/>
  <dc:description/>
  <cp:lastModifiedBy>Anton Shiryaev</cp:lastModifiedBy>
  <cp:revision>3</cp:revision>
  <dcterms:created xsi:type="dcterms:W3CDTF">2026-02-02T07:55:00Z</dcterms:created>
  <dcterms:modified xsi:type="dcterms:W3CDTF">2026-02-02T08:08:00Z</dcterms:modified>
</cp:coreProperties>
</file>