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Current Systems of a Diamagnetic Cavity</w:t>
      </w:r>
      <w:r w:rsidDel="00000000" w:rsidR="00000000" w:rsidRPr="00000000">
        <w:rPr>
          <w:rtl w:val="0"/>
        </w:rPr>
      </w:r>
    </w:p>
    <w:p w:rsidR="00000000" w:rsidDel="00000000" w:rsidP="00000000" w:rsidRDefault="00000000" w:rsidRPr="00000000" w14:paraId="00000002">
      <w:pPr>
        <w:widowControl w:val="0"/>
        <w:rPr>
          <w:sz w:val="24"/>
          <w:szCs w:val="24"/>
        </w:rPr>
      </w:pPr>
      <w:r w:rsidDel="00000000" w:rsidR="00000000" w:rsidRPr="00000000">
        <w:rPr>
          <w:rtl w:val="0"/>
        </w:rPr>
      </w:r>
    </w:p>
    <w:p w:rsidR="00000000" w:rsidDel="00000000" w:rsidP="00000000" w:rsidRDefault="00000000" w:rsidRPr="00000000" w14:paraId="00000003">
      <w:pPr>
        <w:widowControl w:val="0"/>
        <w:rPr>
          <w:i w:val="1"/>
          <w:iCs w:val="1"/>
          <w:sz w:val="24"/>
          <w:szCs w:val="24"/>
        </w:rPr>
      </w:pPr>
      <w:r w:rsidDel="00000000" w:rsidR="00000000" w:rsidRPr="00000000">
        <w:rPr>
          <w:sz w:val="24"/>
          <w:szCs w:val="24"/>
          <w:rtl w:val="0"/>
        </w:rPr>
        <w:t xml:space="preserve">I.P. Paramonik</w:t>
      </w:r>
      <w:r w:rsidDel="00000000" w:rsidR="00000000" w:rsidRPr="00000000">
        <w:rPr>
          <w:sz w:val="24"/>
          <w:szCs w:val="24"/>
          <w:vertAlign w:val="superscript"/>
          <w:rtl w:val="0"/>
        </w:rPr>
        <w:t xml:space="preserve">1</w:t>
      </w:r>
      <w:r w:rsidDel="00000000" w:rsidR="00000000" w:rsidRPr="00000000">
        <w:rPr>
          <w:sz w:val="24"/>
          <w:szCs w:val="24"/>
          <w:rtl w:val="0"/>
        </w:rPr>
        <w:t xml:space="preserve">, A.V. Divin</w:t>
      </w:r>
      <w:r w:rsidDel="00000000" w:rsidR="00000000" w:rsidRPr="00000000">
        <w:rPr>
          <w:sz w:val="24"/>
          <w:szCs w:val="24"/>
          <w:vertAlign w:val="superscript"/>
          <w:rtl w:val="0"/>
        </w:rPr>
        <w:t xml:space="preserve">1</w:t>
      </w:r>
      <w:r w:rsidDel="00000000" w:rsidR="00000000" w:rsidRPr="00000000">
        <w:rPr>
          <w:sz w:val="24"/>
          <w:szCs w:val="24"/>
          <w:rtl w:val="0"/>
        </w:rPr>
        <w:t xml:space="preserve">, A.A. Chibranov</w:t>
      </w:r>
      <w:r w:rsidDel="00000000" w:rsidR="00000000" w:rsidRPr="00000000">
        <w:rPr>
          <w:sz w:val="24"/>
          <w:szCs w:val="24"/>
          <w:vertAlign w:val="superscript"/>
          <w:rtl w:val="0"/>
        </w:rPr>
        <w:t xml:space="preserve">2</w:t>
      </w:r>
      <w:r w:rsidDel="00000000" w:rsidR="00000000" w:rsidRPr="00000000">
        <w:rPr>
          <w:sz w:val="24"/>
          <w:szCs w:val="24"/>
          <w:rtl w:val="0"/>
        </w:rPr>
        <w:t xml:space="preserve">, M.S. Rumenskikh</w:t>
      </w:r>
      <w:r w:rsidDel="00000000" w:rsidR="00000000" w:rsidRPr="00000000">
        <w:rPr>
          <w:sz w:val="24"/>
          <w:szCs w:val="24"/>
          <w:vertAlign w:val="superscript"/>
          <w:rtl w:val="0"/>
        </w:rPr>
        <w:t xml:space="preserve">2</w:t>
      </w:r>
      <w:r w:rsidDel="00000000" w:rsidR="00000000" w:rsidRPr="00000000">
        <w:rPr>
          <w:sz w:val="24"/>
          <w:szCs w:val="24"/>
          <w:rtl w:val="0"/>
        </w:rPr>
        <w:t xml:space="preserve">, I.F. Shaikhislamov</w:t>
      </w:r>
      <w:r w:rsidDel="00000000" w:rsidR="00000000" w:rsidRPr="00000000">
        <w:rPr>
          <w:sz w:val="24"/>
          <w:szCs w:val="24"/>
          <w:vertAlign w:val="superscript"/>
          <w:rtl w:val="0"/>
        </w:rPr>
        <w:t xml:space="preserve">2</w:t>
      </w:r>
      <w:r w:rsidDel="00000000" w:rsidR="00000000" w:rsidRPr="00000000">
        <w:rPr>
          <w:sz w:val="24"/>
          <w:szCs w:val="24"/>
          <w:rtl w:val="0"/>
        </w:rPr>
        <w:t xml:space="preserve">, V.S. Semenov</w:t>
      </w:r>
      <w:r w:rsidDel="00000000" w:rsidR="00000000" w:rsidRPr="00000000">
        <w:rPr>
          <w:sz w:val="24"/>
          <w:szCs w:val="24"/>
          <w:vertAlign w:val="superscript"/>
          <w:rtl w:val="0"/>
        </w:rPr>
        <w:t xml:space="preserve">1</w:t>
      </w:r>
      <w:r w:rsidDel="00000000" w:rsidR="00000000" w:rsidRPr="00000000">
        <w:rPr>
          <w:sz w:val="24"/>
          <w:szCs w:val="24"/>
          <w:rtl w:val="0"/>
        </w:rPr>
        <w:t xml:space="preserve"> </w:t>
      </w:r>
      <w:r w:rsidDel="00000000" w:rsidR="00000000" w:rsidRPr="00000000">
        <w:rPr>
          <w:i w:val="1"/>
          <w:iCs w:val="1"/>
          <w:sz w:val="24"/>
          <w:szCs w:val="24"/>
          <w:vertAlign w:val="superscript"/>
          <w:rtl w:val="0"/>
        </w:rPr>
        <w:t xml:space="preserve"> </w:t>
        <w:br w:type="textWrapping"/>
        <w:br w:type="textWrapping"/>
        <w:t xml:space="preserve">1 </w:t>
      </w:r>
      <w:r w:rsidDel="00000000" w:rsidR="00000000" w:rsidRPr="00000000">
        <w:rPr>
          <w:i w:val="1"/>
          <w:iCs w:val="1"/>
          <w:sz w:val="24"/>
          <w:szCs w:val="24"/>
          <w:rtl w:val="0"/>
        </w:rPr>
        <w:t xml:space="preserve">St. Petersburg State University, St. Petersburg, Russia</w:t>
      </w:r>
      <w:r w:rsidDel="00000000" w:rsidR="00000000" w:rsidRPr="00000000">
        <w:rPr>
          <w:i w:val="1"/>
          <w:iCs w:val="1"/>
          <w:sz w:val="24"/>
          <w:szCs w:val="24"/>
          <w:rtl w:val="0"/>
        </w:rPr>
        <w:t xml:space="preserve">, </w:t>
      </w:r>
      <w:hyperlink r:id="rId6">
        <w:r w:rsidDel="00000000" w:rsidR="00000000" w:rsidRPr="00000000">
          <w:rPr>
            <w:i w:val="1"/>
            <w:iCs w:val="1"/>
            <w:color w:val="1155cc"/>
            <w:sz w:val="24"/>
            <w:szCs w:val="24"/>
            <w:u w:val="single"/>
            <w:rtl w:val="0"/>
          </w:rPr>
          <w:t xml:space="preserve">igorparamonik@gmail.com</w:t>
        </w:r>
      </w:hyperlink>
      <w:r w:rsidDel="00000000" w:rsidR="00000000" w:rsidRPr="00000000">
        <w:rPr>
          <w:sz w:val="24"/>
          <w:szCs w:val="24"/>
          <w:vertAlign w:val="superscript"/>
          <w:rtl w:val="0"/>
        </w:rPr>
        <w:br w:type="textWrapping"/>
      </w:r>
      <w:r w:rsidDel="00000000" w:rsidR="00000000" w:rsidRPr="00000000">
        <w:rPr>
          <w:i w:val="1"/>
          <w:iCs w:val="1"/>
          <w:sz w:val="24"/>
          <w:szCs w:val="24"/>
          <w:vertAlign w:val="superscript"/>
          <w:rtl w:val="0"/>
        </w:rPr>
        <w:t xml:space="preserve">2 </w:t>
      </w:r>
      <w:r w:rsidDel="00000000" w:rsidR="00000000" w:rsidRPr="00000000">
        <w:rPr>
          <w:i w:val="1"/>
          <w:iCs w:val="1"/>
          <w:sz w:val="24"/>
          <w:szCs w:val="24"/>
          <w:rtl w:val="0"/>
        </w:rPr>
        <w:t xml:space="preserve">Institute of Laser Physics, SB RAS, Novosibirsk, Russia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Spherically symmetric expansion of a plasma cloud from a point source into an external magnetic field is a fundamental model problem for describing various astrophysical phenomena in space plasma. Examples of such events, occurring across a wide range of scales, include supernova explosions, coronal mass ejections, the interaction of the solar or interstellar wind with the galactic magnetic field, and experiments in the Earth's magnetosphere (AMPTE, CRRES). As it expands, the plasma displaces the surrounding magnetic field and forms a diamagnetic cavity.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Laboratory experiments with laser plasma at the KI-1 facility (Institute of Laser Physics SB RAS, Novosibirsk) established the existence of a weakly magnetized ion regime. In this regime, the gyroradius of particles in the expanding cloud is comparable to or exceeds the magnetic stopping radius. At a late stage of the process, this leads to anomalously fast magnetic field penetration into the cavity, accompanied by the generation of azimuthal Hall magnetic fields. Particle-in-Cell (PIC) numerical simulations confirmed the presence of Hall fields in this problem and revealed the existence of a double, nested quadrupole structure of the azimuthal field, consisting of outer and inner parts. Furthermore, both laboratory and numerical simulations confirmed the dependence of the field configuration and intensity on the density of the external background plasma: the inner structure becomes less pronounced as the background density increases.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This work demonstrates the current systems of a diamagnetic cavity associated with Hall magnetic fields for different background plasma densities. Using 2D PIC simulations as an example, it is shown how these current systems close in fundamentally different ways to produce distinct magnetic field structures under sub-Alfvenic and super-Alfvenic plasma expansion regimes.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sectPr>
      <w:pgSz w:h="15840" w:w="1224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gorparamon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