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3687" w14:textId="1676588C" w:rsidR="000C30F8" w:rsidRPr="00E676B5" w:rsidRDefault="00D86A13" w:rsidP="000B3BB5">
      <w:pPr>
        <w:spacing w:line="264" w:lineRule="auto"/>
        <w:jc w:val="both"/>
        <w:rPr>
          <w:b/>
          <w:color w:val="000000" w:themeColor="text1"/>
          <w:sz w:val="28"/>
          <w:szCs w:val="28"/>
        </w:rPr>
      </w:pPr>
      <w:r w:rsidRPr="00E676B5">
        <w:rPr>
          <w:b/>
          <w:color w:val="000000" w:themeColor="text1"/>
          <w:sz w:val="28"/>
          <w:szCs w:val="28"/>
        </w:rPr>
        <w:t xml:space="preserve">Анализ </w:t>
      </w:r>
      <w:r w:rsidR="000B3BB5" w:rsidRPr="00E676B5">
        <w:rPr>
          <w:b/>
          <w:color w:val="000000" w:themeColor="text1"/>
          <w:sz w:val="28"/>
          <w:szCs w:val="28"/>
        </w:rPr>
        <w:t xml:space="preserve">геоэффективности </w:t>
      </w:r>
      <w:r w:rsidRPr="00E676B5">
        <w:rPr>
          <w:b/>
          <w:color w:val="000000" w:themeColor="text1"/>
          <w:sz w:val="28"/>
          <w:szCs w:val="28"/>
        </w:rPr>
        <w:t>магнитны</w:t>
      </w:r>
      <w:r w:rsidR="000B3BB5" w:rsidRPr="00E676B5">
        <w:rPr>
          <w:b/>
          <w:color w:val="000000" w:themeColor="text1"/>
          <w:sz w:val="28"/>
          <w:szCs w:val="28"/>
        </w:rPr>
        <w:t>х</w:t>
      </w:r>
      <w:r w:rsidRPr="00E676B5">
        <w:rPr>
          <w:b/>
          <w:color w:val="000000" w:themeColor="text1"/>
          <w:sz w:val="28"/>
          <w:szCs w:val="28"/>
        </w:rPr>
        <w:t xml:space="preserve"> облак</w:t>
      </w:r>
      <w:r w:rsidR="000B3BB5" w:rsidRPr="00E676B5">
        <w:rPr>
          <w:b/>
          <w:color w:val="000000" w:themeColor="text1"/>
          <w:sz w:val="28"/>
          <w:szCs w:val="28"/>
        </w:rPr>
        <w:t>ов</w:t>
      </w:r>
      <w:r w:rsidRPr="00E676B5">
        <w:rPr>
          <w:b/>
          <w:color w:val="000000" w:themeColor="text1"/>
          <w:sz w:val="28"/>
          <w:szCs w:val="28"/>
        </w:rPr>
        <w:t xml:space="preserve"> в условиях 25-го солнечного цикла</w:t>
      </w:r>
      <w:r w:rsidR="000B3BB5" w:rsidRPr="00E676B5">
        <w:rPr>
          <w:b/>
          <w:color w:val="000000" w:themeColor="text1"/>
          <w:sz w:val="28"/>
          <w:szCs w:val="28"/>
        </w:rPr>
        <w:t>, предшествующих развитию суббурь</w:t>
      </w:r>
    </w:p>
    <w:p w14:paraId="5A298C4F" w14:textId="77777777" w:rsidR="000C30F8" w:rsidRPr="00E676B5" w:rsidRDefault="000C30F8" w:rsidP="000C30F8">
      <w:pPr>
        <w:spacing w:line="264" w:lineRule="auto"/>
        <w:rPr>
          <w:b/>
          <w:color w:val="000000" w:themeColor="text1"/>
          <w:sz w:val="28"/>
          <w:szCs w:val="28"/>
        </w:rPr>
      </w:pPr>
    </w:p>
    <w:p w14:paraId="3C59F276" w14:textId="26379284" w:rsidR="004415CC" w:rsidRPr="00E676B5" w:rsidRDefault="00F86A7D" w:rsidP="00F86A7D">
      <w:pPr>
        <w:rPr>
          <w:rFonts w:eastAsia="Calibri"/>
          <w:b/>
          <w:color w:val="000000" w:themeColor="text1"/>
        </w:rPr>
      </w:pPr>
      <w:r w:rsidRPr="00E676B5">
        <w:rPr>
          <w:rFonts w:eastAsia="Calibri"/>
          <w:b/>
          <w:color w:val="000000" w:themeColor="text1"/>
        </w:rPr>
        <w:t>Н.А. Бархатов</w:t>
      </w:r>
      <w:r w:rsidRPr="00E676B5">
        <w:rPr>
          <w:rFonts w:eastAsia="Calibri"/>
          <w:b/>
          <w:color w:val="000000" w:themeColor="text1"/>
          <w:vertAlign w:val="superscript"/>
        </w:rPr>
        <w:t>1</w:t>
      </w:r>
      <w:r w:rsidRPr="00E676B5">
        <w:rPr>
          <w:rFonts w:eastAsia="Calibri"/>
          <w:b/>
          <w:color w:val="000000" w:themeColor="text1"/>
        </w:rPr>
        <w:t>, С.Е. Ревунов</w:t>
      </w:r>
      <w:r w:rsidRPr="00E676B5">
        <w:rPr>
          <w:rFonts w:eastAsia="Calibri"/>
          <w:b/>
          <w:color w:val="000000" w:themeColor="text1"/>
          <w:vertAlign w:val="superscript"/>
        </w:rPr>
        <w:t>1</w:t>
      </w:r>
      <w:r w:rsidRPr="00E676B5">
        <w:rPr>
          <w:rFonts w:eastAsia="Calibri"/>
          <w:b/>
          <w:color w:val="000000" w:themeColor="text1"/>
        </w:rPr>
        <w:t>, О.М. Бархатова</w:t>
      </w:r>
      <w:r w:rsidRPr="00E676B5">
        <w:rPr>
          <w:rFonts w:eastAsia="Calibri"/>
          <w:b/>
          <w:color w:val="000000" w:themeColor="text1"/>
          <w:vertAlign w:val="superscript"/>
        </w:rPr>
        <w:t>2</w:t>
      </w:r>
      <w:r w:rsidRPr="00E676B5">
        <w:rPr>
          <w:rFonts w:eastAsia="Calibri"/>
          <w:b/>
          <w:color w:val="000000" w:themeColor="text1"/>
        </w:rPr>
        <w:t>, Е.А. Ревунова</w:t>
      </w:r>
      <w:r w:rsidRPr="00E676B5">
        <w:rPr>
          <w:rFonts w:eastAsia="Calibri"/>
          <w:b/>
          <w:color w:val="000000" w:themeColor="text1"/>
          <w:vertAlign w:val="superscript"/>
        </w:rPr>
        <w:t>2</w:t>
      </w:r>
      <w:r w:rsidRPr="00E676B5">
        <w:rPr>
          <w:rFonts w:eastAsia="Calibri"/>
          <w:b/>
          <w:color w:val="000000" w:themeColor="text1"/>
        </w:rPr>
        <w:t xml:space="preserve">, </w:t>
      </w:r>
      <w:r w:rsidR="001C4FFA" w:rsidRPr="00E676B5">
        <w:rPr>
          <w:rFonts w:eastAsia="Calibri"/>
          <w:b/>
          <w:color w:val="000000" w:themeColor="text1"/>
        </w:rPr>
        <w:t xml:space="preserve">А.И. </w:t>
      </w:r>
      <w:r w:rsidR="004370A6" w:rsidRPr="00E676B5">
        <w:rPr>
          <w:rFonts w:eastAsia="Calibri"/>
          <w:b/>
          <w:color w:val="000000" w:themeColor="text1"/>
        </w:rPr>
        <w:t>Попов</w:t>
      </w:r>
      <w:r w:rsidR="004370A6" w:rsidRPr="00E676B5">
        <w:rPr>
          <w:rFonts w:eastAsia="Calibri"/>
          <w:b/>
          <w:color w:val="000000" w:themeColor="text1"/>
          <w:vertAlign w:val="superscript"/>
        </w:rPr>
        <w:t>1</w:t>
      </w:r>
    </w:p>
    <w:p w14:paraId="61B76824" w14:textId="77777777" w:rsidR="004415CC" w:rsidRPr="00E676B5" w:rsidRDefault="004415CC" w:rsidP="0090730F">
      <w:pPr>
        <w:rPr>
          <w:rFonts w:eastAsia="Calibri"/>
          <w:b/>
          <w:color w:val="000000" w:themeColor="text1"/>
        </w:rPr>
      </w:pPr>
    </w:p>
    <w:p w14:paraId="4E8C3F19" w14:textId="77777777" w:rsidR="00F86A7D" w:rsidRPr="00E676B5" w:rsidRDefault="00F86A7D" w:rsidP="00F86A7D">
      <w:pPr>
        <w:rPr>
          <w:rFonts w:eastAsia="Calibri"/>
          <w:i/>
          <w:color w:val="000000" w:themeColor="text1"/>
        </w:rPr>
      </w:pPr>
      <w:r w:rsidRPr="00E676B5">
        <w:rPr>
          <w:rFonts w:eastAsia="Calibri"/>
          <w:i/>
          <w:color w:val="000000" w:themeColor="text1"/>
          <w:vertAlign w:val="superscript"/>
        </w:rPr>
        <w:t>1</w:t>
      </w:r>
      <w:r w:rsidRPr="00E676B5">
        <w:rPr>
          <w:rFonts w:eastAsia="Calibri"/>
          <w:i/>
          <w:color w:val="000000" w:themeColor="text1"/>
        </w:rPr>
        <w:t>Нижегородский государственный педагогический университет им. К. Минина, Нижний Новгород, Россия</w:t>
      </w:r>
    </w:p>
    <w:p w14:paraId="755D8ECD" w14:textId="77777777" w:rsidR="00F86A7D" w:rsidRPr="00E676B5" w:rsidRDefault="00F86A7D" w:rsidP="00F86A7D">
      <w:pPr>
        <w:rPr>
          <w:rFonts w:eastAsia="Calibri"/>
          <w:i/>
          <w:color w:val="000000" w:themeColor="text1"/>
        </w:rPr>
      </w:pPr>
      <w:r w:rsidRPr="00E676B5">
        <w:rPr>
          <w:rFonts w:eastAsia="Calibri"/>
          <w:i/>
          <w:color w:val="000000" w:themeColor="text1"/>
        </w:rPr>
        <w:t>2 Нижегородский государственный архитектурно-строительный университет, Нижний Новгород, Россия</w:t>
      </w:r>
    </w:p>
    <w:p w14:paraId="4686B48C" w14:textId="77777777" w:rsidR="004415CC" w:rsidRPr="00E676B5" w:rsidRDefault="004415CC" w:rsidP="0090730F">
      <w:pPr>
        <w:rPr>
          <w:rFonts w:eastAsia="Calibri"/>
          <w:i/>
          <w:color w:val="000000" w:themeColor="text1"/>
        </w:rPr>
      </w:pPr>
    </w:p>
    <w:p w14:paraId="190CAE7D" w14:textId="4800E921" w:rsidR="004D00C2" w:rsidRPr="00E676B5" w:rsidRDefault="00E8267F" w:rsidP="00E676B5">
      <w:pPr>
        <w:spacing w:line="264" w:lineRule="auto"/>
        <w:ind w:firstLine="708"/>
        <w:jc w:val="both"/>
        <w:rPr>
          <w:color w:val="000000" w:themeColor="text1"/>
        </w:rPr>
      </w:pPr>
      <w:r w:rsidRPr="00E676B5">
        <w:rPr>
          <w:color w:val="000000" w:themeColor="text1"/>
        </w:rPr>
        <w:t xml:space="preserve">Работа посвящена </w:t>
      </w:r>
      <w:r w:rsidR="008D7E1C" w:rsidRPr="00E676B5">
        <w:rPr>
          <w:color w:val="000000" w:themeColor="text1"/>
        </w:rPr>
        <w:t xml:space="preserve">анализу </w:t>
      </w:r>
      <w:r w:rsidR="000B3BB5" w:rsidRPr="00E676B5">
        <w:rPr>
          <w:color w:val="000000" w:themeColor="text1"/>
        </w:rPr>
        <w:t>геоэффективности магнитных облаков</w:t>
      </w:r>
      <w:r w:rsidR="00DE6698" w:rsidRPr="00E676B5">
        <w:rPr>
          <w:color w:val="000000" w:themeColor="text1"/>
        </w:rPr>
        <w:t xml:space="preserve"> солнечного ветра на примере их способности вызывать суббуревые явления. </w:t>
      </w:r>
      <w:r w:rsidR="008D7E1C" w:rsidRPr="00E676B5">
        <w:rPr>
          <w:color w:val="000000" w:themeColor="text1"/>
        </w:rPr>
        <w:t xml:space="preserve">Магнитные облака обладают характерной магнитной структурой и возможностью длительного, упорядоченного воздействия на магнитосферу Земли. </w:t>
      </w:r>
      <w:r w:rsidR="00DE6698" w:rsidRPr="00E676B5">
        <w:rPr>
          <w:color w:val="000000" w:themeColor="text1"/>
        </w:rPr>
        <w:t xml:space="preserve">Это позволяет использовать их в виде индикатора суббурь. Исследование выполнено на материалах </w:t>
      </w:r>
      <w:r w:rsidR="00B17801" w:rsidRPr="00E676B5">
        <w:rPr>
          <w:color w:val="000000" w:themeColor="text1"/>
        </w:rPr>
        <w:t xml:space="preserve">25-го солнечного цикла, который </w:t>
      </w:r>
      <w:r w:rsidR="008D7E1C" w:rsidRPr="00E676B5">
        <w:rPr>
          <w:color w:val="000000" w:themeColor="text1"/>
        </w:rPr>
        <w:t>характеризу</w:t>
      </w:r>
      <w:r w:rsidR="00B17801" w:rsidRPr="00E676B5">
        <w:rPr>
          <w:color w:val="000000" w:themeColor="text1"/>
        </w:rPr>
        <w:t>ется</w:t>
      </w:r>
      <w:r w:rsidR="008D7E1C" w:rsidRPr="00E676B5">
        <w:rPr>
          <w:color w:val="000000" w:themeColor="text1"/>
        </w:rPr>
        <w:t xml:space="preserve"> умеренной </w:t>
      </w:r>
      <w:r w:rsidR="00B17801" w:rsidRPr="00E676B5">
        <w:rPr>
          <w:color w:val="000000" w:themeColor="text1"/>
        </w:rPr>
        <w:t xml:space="preserve">солнечной </w:t>
      </w:r>
      <w:r w:rsidR="008D7E1C" w:rsidRPr="00E676B5">
        <w:rPr>
          <w:color w:val="000000" w:themeColor="text1"/>
        </w:rPr>
        <w:t>активностью</w:t>
      </w:r>
      <w:r w:rsidR="00B17801" w:rsidRPr="00E676B5">
        <w:rPr>
          <w:color w:val="000000" w:themeColor="text1"/>
        </w:rPr>
        <w:t>. Именно поэтому</w:t>
      </w:r>
      <w:r w:rsidR="008D7E1C" w:rsidRPr="00E676B5">
        <w:rPr>
          <w:color w:val="000000" w:themeColor="text1"/>
        </w:rPr>
        <w:t xml:space="preserve"> </w:t>
      </w:r>
      <w:r w:rsidR="00B17801" w:rsidRPr="00E676B5">
        <w:rPr>
          <w:color w:val="000000" w:themeColor="text1"/>
        </w:rPr>
        <w:t xml:space="preserve">в пределах этого цикла </w:t>
      </w:r>
      <w:r w:rsidR="008D7E1C" w:rsidRPr="00E676B5">
        <w:rPr>
          <w:color w:val="000000" w:themeColor="text1"/>
        </w:rPr>
        <w:t>физические особенности магнитных облаков становятся более значимыми</w:t>
      </w:r>
      <w:r w:rsidR="00B17801" w:rsidRPr="00E676B5">
        <w:rPr>
          <w:color w:val="000000" w:themeColor="text1"/>
        </w:rPr>
        <w:t xml:space="preserve"> в процессах генерации высокоширотной геомагнитной активности</w:t>
      </w:r>
      <w:r w:rsidR="008D7E1C" w:rsidRPr="00E676B5">
        <w:rPr>
          <w:color w:val="000000" w:themeColor="text1"/>
        </w:rPr>
        <w:t>, чем уединенные экстремальные значения параметров солнечного ветра.</w:t>
      </w:r>
    </w:p>
    <w:p w14:paraId="57D18B45" w14:textId="3F357891" w:rsidR="008D7E1C" w:rsidRPr="00E676B5" w:rsidRDefault="008D7E1C" w:rsidP="00E676B5">
      <w:pPr>
        <w:spacing w:line="264" w:lineRule="auto"/>
        <w:ind w:firstLine="708"/>
        <w:jc w:val="both"/>
        <w:rPr>
          <w:color w:val="000000" w:themeColor="text1"/>
        </w:rPr>
      </w:pPr>
      <w:r w:rsidRPr="00E676B5">
        <w:rPr>
          <w:color w:val="000000" w:themeColor="text1"/>
        </w:rPr>
        <w:t xml:space="preserve">В данном исследовании интервалы магнитных облаков </w:t>
      </w:r>
      <w:r w:rsidR="00B17801" w:rsidRPr="00E676B5">
        <w:rPr>
          <w:color w:val="000000" w:themeColor="text1"/>
        </w:rPr>
        <w:t xml:space="preserve">солнечного ветра </w:t>
      </w:r>
      <w:r w:rsidRPr="00E676B5">
        <w:rPr>
          <w:color w:val="000000" w:themeColor="text1"/>
        </w:rPr>
        <w:t xml:space="preserve">определялись согласно каталогу Ian Richardson and Hilary Cane (https://izw1.caltech.edu/ACE/ASC/DATA/level3/icmetable2.htm). С ноября 2019 г. по январь 2025 г. </w:t>
      </w:r>
      <w:r w:rsidR="00B17801" w:rsidRPr="00E676B5">
        <w:rPr>
          <w:color w:val="000000" w:themeColor="text1"/>
        </w:rPr>
        <w:t xml:space="preserve">по данным каталога было отмечено </w:t>
      </w:r>
      <w:r w:rsidRPr="00E676B5">
        <w:rPr>
          <w:color w:val="000000" w:themeColor="text1"/>
        </w:rPr>
        <w:t>90 магнитны</w:t>
      </w:r>
      <w:r w:rsidR="00B17801" w:rsidRPr="00E676B5">
        <w:rPr>
          <w:color w:val="000000" w:themeColor="text1"/>
        </w:rPr>
        <w:t>х</w:t>
      </w:r>
      <w:r w:rsidRPr="00E676B5">
        <w:rPr>
          <w:color w:val="000000" w:themeColor="text1"/>
        </w:rPr>
        <w:t xml:space="preserve"> облак</w:t>
      </w:r>
      <w:r w:rsidR="00B17801" w:rsidRPr="00E676B5">
        <w:rPr>
          <w:color w:val="000000" w:themeColor="text1"/>
        </w:rPr>
        <w:t>ов</w:t>
      </w:r>
      <w:r w:rsidRPr="00E676B5">
        <w:rPr>
          <w:color w:val="000000" w:themeColor="text1"/>
        </w:rPr>
        <w:t xml:space="preserve">. </w:t>
      </w:r>
      <w:r w:rsidR="00B17801" w:rsidRPr="00E676B5">
        <w:rPr>
          <w:color w:val="000000" w:themeColor="text1"/>
        </w:rPr>
        <w:t>Эти события были нами уточнены на предмет удовлетворения характерным признакам магнитных облаков с</w:t>
      </w:r>
      <w:r w:rsidRPr="00E676B5">
        <w:rPr>
          <w:color w:val="000000" w:themeColor="text1"/>
        </w:rPr>
        <w:t xml:space="preserve"> помощью программы поиска магнитных облаков в потоке данных [Бархатов и др., 201</w:t>
      </w:r>
      <w:r w:rsidR="00776306" w:rsidRPr="00E676B5">
        <w:rPr>
          <w:color w:val="000000" w:themeColor="text1"/>
        </w:rPr>
        <w:t xml:space="preserve">0 </w:t>
      </w:r>
      <w:r w:rsidR="00E676B5" w:rsidRPr="00E676B5">
        <w:rPr>
          <w:color w:val="000000" w:themeColor="text1"/>
        </w:rPr>
        <w:t>г.</w:t>
      </w:r>
      <w:r w:rsidRPr="00E676B5">
        <w:rPr>
          <w:color w:val="000000" w:themeColor="text1"/>
        </w:rPr>
        <w:t xml:space="preserve">]. </w:t>
      </w:r>
      <w:r w:rsidR="008D2174" w:rsidRPr="00E676B5">
        <w:rPr>
          <w:color w:val="000000" w:themeColor="text1"/>
        </w:rPr>
        <w:t xml:space="preserve">В результате нами было верифицировано </w:t>
      </w:r>
      <w:r w:rsidR="008B2428" w:rsidRPr="00E676B5">
        <w:rPr>
          <w:color w:val="000000" w:themeColor="text1"/>
        </w:rPr>
        <w:t>всего 40</w:t>
      </w:r>
      <w:r w:rsidR="008D2174" w:rsidRPr="00E676B5">
        <w:rPr>
          <w:color w:val="000000" w:themeColor="text1"/>
        </w:rPr>
        <w:t xml:space="preserve"> магнитных облаков.</w:t>
      </w:r>
      <w:r w:rsidR="008B2428" w:rsidRPr="00E676B5">
        <w:rPr>
          <w:color w:val="000000" w:themeColor="text1"/>
        </w:rPr>
        <w:t xml:space="preserve"> </w:t>
      </w:r>
      <w:r w:rsidRPr="00E676B5">
        <w:rPr>
          <w:color w:val="000000" w:themeColor="text1"/>
        </w:rPr>
        <w:t xml:space="preserve">Отбор анализируемых суббурь проводился по показаниям AL-индекса внутри интервалов, соответствующих времени воздействия </w:t>
      </w:r>
      <w:r w:rsidR="008B2428" w:rsidRPr="00E676B5">
        <w:rPr>
          <w:color w:val="000000" w:themeColor="text1"/>
        </w:rPr>
        <w:t xml:space="preserve">этих </w:t>
      </w:r>
      <w:r w:rsidRPr="00E676B5">
        <w:rPr>
          <w:color w:val="000000" w:themeColor="text1"/>
        </w:rPr>
        <w:t>магнитных облаков на магнитосферу</w:t>
      </w:r>
      <w:r w:rsidR="00DE13CE" w:rsidRPr="00E676B5">
        <w:rPr>
          <w:color w:val="000000" w:themeColor="text1"/>
        </w:rPr>
        <w:t>. Д</w:t>
      </w:r>
      <w:r w:rsidRPr="00E676B5">
        <w:rPr>
          <w:color w:val="000000" w:themeColor="text1"/>
        </w:rPr>
        <w:t>ля определения времени начала суббури использовался автоматический алгоритм, детально представленный в работе [Воробьев и др., 2016].</w:t>
      </w:r>
      <w:r w:rsidR="00A3168F" w:rsidRPr="00E676B5">
        <w:rPr>
          <w:color w:val="000000" w:themeColor="text1"/>
        </w:rPr>
        <w:t xml:space="preserve"> В результате</w:t>
      </w:r>
      <w:r w:rsidR="008B2428" w:rsidRPr="00E676B5">
        <w:rPr>
          <w:color w:val="000000" w:themeColor="text1"/>
        </w:rPr>
        <w:t>,</w:t>
      </w:r>
      <w:r w:rsidR="00A3168F" w:rsidRPr="00E676B5">
        <w:rPr>
          <w:color w:val="000000" w:themeColor="text1"/>
        </w:rPr>
        <w:t xml:space="preserve"> </w:t>
      </w:r>
      <w:r w:rsidR="008B2428" w:rsidRPr="00E676B5">
        <w:rPr>
          <w:color w:val="000000" w:themeColor="text1"/>
        </w:rPr>
        <w:t xml:space="preserve">на интервалах действия верифицированных магнитных облаков, </w:t>
      </w:r>
      <w:r w:rsidR="00A3168F" w:rsidRPr="00E676B5">
        <w:rPr>
          <w:color w:val="000000" w:themeColor="text1"/>
        </w:rPr>
        <w:t>был обнаружен 31 достоверный случай суббур</w:t>
      </w:r>
      <w:r w:rsidR="002F78CB" w:rsidRPr="00E676B5">
        <w:rPr>
          <w:color w:val="000000" w:themeColor="text1"/>
        </w:rPr>
        <w:t xml:space="preserve">ь, </w:t>
      </w:r>
      <w:r w:rsidR="008B2428" w:rsidRPr="00E676B5">
        <w:rPr>
          <w:color w:val="000000" w:themeColor="text1"/>
        </w:rPr>
        <w:t xml:space="preserve">ими </w:t>
      </w:r>
      <w:r w:rsidR="00A3168F" w:rsidRPr="00E676B5">
        <w:rPr>
          <w:color w:val="000000" w:themeColor="text1"/>
        </w:rPr>
        <w:t>вызва</w:t>
      </w:r>
      <w:r w:rsidR="008B2428" w:rsidRPr="00E676B5">
        <w:rPr>
          <w:color w:val="000000" w:themeColor="text1"/>
        </w:rPr>
        <w:t>нных</w:t>
      </w:r>
      <w:r w:rsidR="00A3168F" w:rsidRPr="00E676B5">
        <w:rPr>
          <w:color w:val="000000" w:themeColor="text1"/>
        </w:rPr>
        <w:t>.</w:t>
      </w:r>
    </w:p>
    <w:p w14:paraId="5F49A785" w14:textId="6DA1150A" w:rsidR="002F78CB" w:rsidRPr="00E676B5" w:rsidRDefault="002F78CB" w:rsidP="00E676B5">
      <w:pPr>
        <w:spacing w:line="264" w:lineRule="auto"/>
        <w:ind w:firstLine="708"/>
        <w:jc w:val="both"/>
        <w:rPr>
          <w:color w:val="000000" w:themeColor="text1"/>
        </w:rPr>
      </w:pPr>
      <w:r w:rsidRPr="00E676B5">
        <w:rPr>
          <w:color w:val="000000" w:themeColor="text1"/>
        </w:rPr>
        <w:t xml:space="preserve">Исследование влияния параметров магнитных облаков на </w:t>
      </w:r>
      <w:r w:rsidR="00DA3B2E" w:rsidRPr="00E676B5">
        <w:rPr>
          <w:color w:val="000000" w:themeColor="text1"/>
        </w:rPr>
        <w:t xml:space="preserve">суббури показало заметную статистическую зависимость </w:t>
      </w:r>
      <w:r w:rsidR="008D6E72" w:rsidRPr="00E676B5">
        <w:rPr>
          <w:color w:val="000000" w:themeColor="text1"/>
        </w:rPr>
        <w:t xml:space="preserve">интенсивности суббурь от </w:t>
      </w:r>
      <w:r w:rsidR="00DA3B2E" w:rsidRPr="00E676B5">
        <w:rPr>
          <w:color w:val="000000" w:themeColor="text1"/>
        </w:rPr>
        <w:t>величин</w:t>
      </w:r>
      <w:r w:rsidR="008D6E72" w:rsidRPr="00E676B5">
        <w:rPr>
          <w:color w:val="000000" w:themeColor="text1"/>
        </w:rPr>
        <w:t>ы</w:t>
      </w:r>
      <w:r w:rsidR="00DA3B2E" w:rsidRPr="00E676B5">
        <w:rPr>
          <w:color w:val="000000" w:themeColor="text1"/>
        </w:rPr>
        <w:t xml:space="preserve"> магнитного поля на оси спирального облака. Также было отмечено, что спиральные магнитные облака с осями, близкими к плоскости эклиптики преобладают среди событий, вызывающих значительные суббури. </w:t>
      </w:r>
      <w:r w:rsidR="008D6E72" w:rsidRPr="00E676B5">
        <w:rPr>
          <w:color w:val="000000" w:themeColor="text1"/>
        </w:rPr>
        <w:t>Известно [Бархатов и др., 2014], что т</w:t>
      </w:r>
      <w:r w:rsidR="006659D6" w:rsidRPr="00E676B5">
        <w:rPr>
          <w:color w:val="000000" w:themeColor="text1"/>
        </w:rPr>
        <w:t xml:space="preserve">акая </w:t>
      </w:r>
      <w:r w:rsidR="00DA3B2E" w:rsidRPr="00E676B5">
        <w:rPr>
          <w:color w:val="000000" w:themeColor="text1"/>
        </w:rPr>
        <w:t>«</w:t>
      </w:r>
      <w:r w:rsidR="006659D6" w:rsidRPr="00E676B5">
        <w:rPr>
          <w:color w:val="000000" w:themeColor="text1"/>
        </w:rPr>
        <w:t>л</w:t>
      </w:r>
      <w:r w:rsidR="00DA3B2E" w:rsidRPr="00E676B5">
        <w:rPr>
          <w:color w:val="000000" w:themeColor="text1"/>
        </w:rPr>
        <w:t>ежачая» конфигурация облаков способств</w:t>
      </w:r>
      <w:r w:rsidR="006659D6" w:rsidRPr="00E676B5">
        <w:rPr>
          <w:color w:val="000000" w:themeColor="text1"/>
        </w:rPr>
        <w:t>ует</w:t>
      </w:r>
      <w:r w:rsidR="00DA3B2E" w:rsidRPr="00E676B5">
        <w:rPr>
          <w:color w:val="000000" w:themeColor="text1"/>
        </w:rPr>
        <w:t xml:space="preserve"> более устойчивому воздействию на магнитосферу Земли.</w:t>
      </w:r>
    </w:p>
    <w:p w14:paraId="6D2AE6C5" w14:textId="77777777" w:rsidR="00776306" w:rsidRDefault="00776306" w:rsidP="00776306">
      <w:pPr>
        <w:spacing w:line="264" w:lineRule="auto"/>
        <w:jc w:val="both"/>
        <w:rPr>
          <w:color w:val="000000" w:themeColor="text1"/>
        </w:rPr>
      </w:pPr>
    </w:p>
    <w:p w14:paraId="56E5561C" w14:textId="77777777" w:rsidR="00E676B5" w:rsidRPr="00E676B5" w:rsidRDefault="00E676B5" w:rsidP="00776306">
      <w:pPr>
        <w:spacing w:line="264" w:lineRule="auto"/>
        <w:jc w:val="both"/>
        <w:rPr>
          <w:color w:val="000000" w:themeColor="text1"/>
        </w:rPr>
      </w:pPr>
    </w:p>
    <w:p w14:paraId="7C474EFB" w14:textId="36EFB089" w:rsidR="00776306" w:rsidRPr="00E676B5" w:rsidRDefault="00776306" w:rsidP="00776306">
      <w:pPr>
        <w:rPr>
          <w:i/>
          <w:color w:val="000000" w:themeColor="text1"/>
          <w:sz w:val="20"/>
          <w:szCs w:val="20"/>
        </w:rPr>
      </w:pPr>
      <w:r w:rsidRPr="00E676B5">
        <w:rPr>
          <w:i/>
          <w:color w:val="000000" w:themeColor="text1"/>
          <w:sz w:val="20"/>
          <w:szCs w:val="20"/>
        </w:rPr>
        <w:t>Бархатов Н.А., Калинина Е.А. Определение параметров магнитных облаков и прогноз интенсивности магнитных бурь</w:t>
      </w:r>
      <w:r w:rsidR="00900B76">
        <w:rPr>
          <w:i/>
          <w:color w:val="000000" w:themeColor="text1"/>
          <w:sz w:val="20"/>
          <w:szCs w:val="20"/>
        </w:rPr>
        <w:t xml:space="preserve"> //</w:t>
      </w:r>
      <w:r w:rsidRPr="00E676B5">
        <w:rPr>
          <w:i/>
          <w:color w:val="000000" w:themeColor="text1"/>
          <w:sz w:val="20"/>
          <w:szCs w:val="20"/>
        </w:rPr>
        <w:t xml:space="preserve"> Геомагнетизм и аэрономия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Т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50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№ 4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С. 477–485</w:t>
      </w:r>
      <w:r w:rsidR="00900B76">
        <w:rPr>
          <w:i/>
          <w:color w:val="000000" w:themeColor="text1"/>
          <w:sz w:val="20"/>
          <w:szCs w:val="20"/>
        </w:rPr>
        <w:t>, 2010</w:t>
      </w:r>
    </w:p>
    <w:p w14:paraId="007E925E" w14:textId="2CE0173E" w:rsidR="00776306" w:rsidRPr="00E676B5" w:rsidRDefault="004370A6" w:rsidP="00776306">
      <w:pPr>
        <w:rPr>
          <w:i/>
          <w:color w:val="000000" w:themeColor="text1"/>
          <w:sz w:val="20"/>
          <w:szCs w:val="20"/>
        </w:rPr>
      </w:pPr>
      <w:r w:rsidRPr="00E676B5">
        <w:rPr>
          <w:i/>
          <w:color w:val="000000" w:themeColor="text1"/>
          <w:sz w:val="20"/>
          <w:szCs w:val="20"/>
        </w:rPr>
        <w:t>Бархатов Н.А., Виноградов А.Б., Ревунова Е.А. Проявление ориентации магнитных облаков солнечного ветра в сезонной вариации геомагнитной активности // Космические исследования, Т. 52, № 4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С. 286-295</w:t>
      </w:r>
      <w:r w:rsidR="00900B76">
        <w:rPr>
          <w:i/>
          <w:color w:val="000000" w:themeColor="text1"/>
          <w:sz w:val="20"/>
          <w:szCs w:val="20"/>
        </w:rPr>
        <w:t>.</w:t>
      </w:r>
      <w:r w:rsidRPr="00E676B5">
        <w:rPr>
          <w:i/>
          <w:color w:val="000000" w:themeColor="text1"/>
          <w:sz w:val="20"/>
          <w:szCs w:val="20"/>
        </w:rPr>
        <w:t xml:space="preserve"> 2014</w:t>
      </w:r>
      <w:r w:rsidR="00E152AB" w:rsidRPr="00E676B5">
        <w:rPr>
          <w:i/>
          <w:color w:val="000000" w:themeColor="text1"/>
          <w:sz w:val="20"/>
          <w:szCs w:val="20"/>
        </w:rPr>
        <w:t>.</w:t>
      </w:r>
    </w:p>
    <w:p w14:paraId="59192AFF" w14:textId="3798EB10" w:rsidR="003756BB" w:rsidRPr="00E676B5" w:rsidRDefault="00776306" w:rsidP="00776306">
      <w:pPr>
        <w:rPr>
          <w:i/>
          <w:color w:val="000000" w:themeColor="text1"/>
          <w:sz w:val="20"/>
          <w:szCs w:val="20"/>
        </w:rPr>
      </w:pPr>
      <w:r w:rsidRPr="00E676B5">
        <w:rPr>
          <w:i/>
          <w:color w:val="000000" w:themeColor="text1"/>
          <w:sz w:val="20"/>
          <w:szCs w:val="20"/>
        </w:rPr>
        <w:t>В</w:t>
      </w:r>
      <w:r w:rsidR="00D32752" w:rsidRPr="00E676B5">
        <w:rPr>
          <w:i/>
          <w:color w:val="000000" w:themeColor="text1"/>
          <w:sz w:val="20"/>
          <w:szCs w:val="20"/>
        </w:rPr>
        <w:t>оробьев В.Г., Ягодкина О.И., Зверев В.Л. Исследование изолированных суббурь: условия генерации и характеристики различных фаз // Геомагнетизм и аэрономия. Т. 56. № 6. С. 721–732. 2016.</w:t>
      </w:r>
    </w:p>
    <w:sectPr w:rsidR="003756BB" w:rsidRPr="00E676B5" w:rsidSect="00275C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C6B49"/>
    <w:multiLevelType w:val="hybridMultilevel"/>
    <w:tmpl w:val="1256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C60D0"/>
    <w:multiLevelType w:val="hybridMultilevel"/>
    <w:tmpl w:val="6B98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391"/>
    <w:multiLevelType w:val="hybridMultilevel"/>
    <w:tmpl w:val="189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5239">
    <w:abstractNumId w:val="1"/>
  </w:num>
  <w:num w:numId="2" w16cid:durableId="1497500615">
    <w:abstractNumId w:val="2"/>
  </w:num>
  <w:num w:numId="3" w16cid:durableId="3829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26"/>
    <w:rsid w:val="0002527E"/>
    <w:rsid w:val="0004195A"/>
    <w:rsid w:val="00044EFD"/>
    <w:rsid w:val="00057E86"/>
    <w:rsid w:val="0006353F"/>
    <w:rsid w:val="000716CC"/>
    <w:rsid w:val="00087325"/>
    <w:rsid w:val="000B2FA0"/>
    <w:rsid w:val="000B3BB5"/>
    <w:rsid w:val="000C30F8"/>
    <w:rsid w:val="000D17EE"/>
    <w:rsid w:val="000D6B77"/>
    <w:rsid w:val="001113EF"/>
    <w:rsid w:val="0011206C"/>
    <w:rsid w:val="00142C01"/>
    <w:rsid w:val="00143832"/>
    <w:rsid w:val="001710BB"/>
    <w:rsid w:val="00184FD3"/>
    <w:rsid w:val="001B312D"/>
    <w:rsid w:val="001C3DC1"/>
    <w:rsid w:val="001C4FFA"/>
    <w:rsid w:val="00275C94"/>
    <w:rsid w:val="0028095B"/>
    <w:rsid w:val="002C69D8"/>
    <w:rsid w:val="002F3826"/>
    <w:rsid w:val="002F78CB"/>
    <w:rsid w:val="00330537"/>
    <w:rsid w:val="00360460"/>
    <w:rsid w:val="003756BB"/>
    <w:rsid w:val="00424D2F"/>
    <w:rsid w:val="004370A6"/>
    <w:rsid w:val="004415CC"/>
    <w:rsid w:val="0049019B"/>
    <w:rsid w:val="00495F2B"/>
    <w:rsid w:val="004B522C"/>
    <w:rsid w:val="004D00C2"/>
    <w:rsid w:val="004E7D4F"/>
    <w:rsid w:val="00522088"/>
    <w:rsid w:val="005544D5"/>
    <w:rsid w:val="00556E07"/>
    <w:rsid w:val="0057038D"/>
    <w:rsid w:val="005A018C"/>
    <w:rsid w:val="005B704D"/>
    <w:rsid w:val="00642AD1"/>
    <w:rsid w:val="006659D6"/>
    <w:rsid w:val="006B1A96"/>
    <w:rsid w:val="0070686D"/>
    <w:rsid w:val="007400E1"/>
    <w:rsid w:val="00776306"/>
    <w:rsid w:val="00793461"/>
    <w:rsid w:val="00796DE2"/>
    <w:rsid w:val="007B5A44"/>
    <w:rsid w:val="00802331"/>
    <w:rsid w:val="008131FD"/>
    <w:rsid w:val="00813C77"/>
    <w:rsid w:val="00876C26"/>
    <w:rsid w:val="00887BE3"/>
    <w:rsid w:val="00895239"/>
    <w:rsid w:val="008A373C"/>
    <w:rsid w:val="008B2428"/>
    <w:rsid w:val="008D2174"/>
    <w:rsid w:val="008D6E72"/>
    <w:rsid w:val="008D7E1C"/>
    <w:rsid w:val="00900B76"/>
    <w:rsid w:val="0090730F"/>
    <w:rsid w:val="00965610"/>
    <w:rsid w:val="00970C3A"/>
    <w:rsid w:val="00985E8B"/>
    <w:rsid w:val="009A0A2C"/>
    <w:rsid w:val="009A1E36"/>
    <w:rsid w:val="009B5EC3"/>
    <w:rsid w:val="009C45F9"/>
    <w:rsid w:val="009E0DDE"/>
    <w:rsid w:val="00A00274"/>
    <w:rsid w:val="00A30D0F"/>
    <w:rsid w:val="00A3168F"/>
    <w:rsid w:val="00A347A4"/>
    <w:rsid w:val="00A35B0E"/>
    <w:rsid w:val="00AD63BC"/>
    <w:rsid w:val="00B17801"/>
    <w:rsid w:val="00B30FA8"/>
    <w:rsid w:val="00B66FEF"/>
    <w:rsid w:val="00BB4293"/>
    <w:rsid w:val="00BF3D08"/>
    <w:rsid w:val="00C05E0D"/>
    <w:rsid w:val="00C30F3D"/>
    <w:rsid w:val="00C977FE"/>
    <w:rsid w:val="00D1005F"/>
    <w:rsid w:val="00D245D6"/>
    <w:rsid w:val="00D315EC"/>
    <w:rsid w:val="00D32752"/>
    <w:rsid w:val="00D47732"/>
    <w:rsid w:val="00D506B8"/>
    <w:rsid w:val="00D5219D"/>
    <w:rsid w:val="00D63C0D"/>
    <w:rsid w:val="00D641BA"/>
    <w:rsid w:val="00D65534"/>
    <w:rsid w:val="00D86A13"/>
    <w:rsid w:val="00DA3B2E"/>
    <w:rsid w:val="00DD53F1"/>
    <w:rsid w:val="00DE13CE"/>
    <w:rsid w:val="00DE6698"/>
    <w:rsid w:val="00E0327B"/>
    <w:rsid w:val="00E10C1C"/>
    <w:rsid w:val="00E152AB"/>
    <w:rsid w:val="00E231EC"/>
    <w:rsid w:val="00E360B6"/>
    <w:rsid w:val="00E676B5"/>
    <w:rsid w:val="00E8267F"/>
    <w:rsid w:val="00E9652F"/>
    <w:rsid w:val="00EE43F3"/>
    <w:rsid w:val="00EF542A"/>
    <w:rsid w:val="00F13CC0"/>
    <w:rsid w:val="00F164FA"/>
    <w:rsid w:val="00F86A7D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4B5A"/>
  <w15:docId w15:val="{8DE98C6E-3B89-40E5-A59A-24560460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C2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nhideWhenUsed/>
    <w:rsid w:val="00876C2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876C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952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4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 НА</dc:creator>
  <cp:lastModifiedBy>BarkhatovNA</cp:lastModifiedBy>
  <cp:revision>4</cp:revision>
  <dcterms:created xsi:type="dcterms:W3CDTF">2026-01-28T16:07:00Z</dcterms:created>
  <dcterms:modified xsi:type="dcterms:W3CDTF">2026-01-29T16:33:00Z</dcterms:modified>
</cp:coreProperties>
</file>