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6C0E" w14:textId="47507E77" w:rsidR="00CC23C8" w:rsidRDefault="009D4667" w:rsidP="00CC23C8">
      <w:pPr>
        <w:widowControl w:val="0"/>
        <w:spacing w:after="200"/>
        <w:jc w:val="both"/>
        <w:rPr>
          <w:b/>
          <w:bCs/>
          <w:sz w:val="28"/>
          <w:szCs w:val="28"/>
          <w:lang w:eastAsia="en-US"/>
        </w:rPr>
      </w:pPr>
      <w:r>
        <w:rPr>
          <w:b/>
          <w:bCs/>
          <w:sz w:val="28"/>
          <w:szCs w:val="28"/>
          <w:lang w:eastAsia="en-US"/>
        </w:rPr>
        <w:t>ОПРЕДЕЛЕНИЕ ТРЕБОВАНИЙ К СИСТЕМЕ МОНИТОРИНГА ГЕОИНДУЦИРОВАННЫХ ТОКОВ В ЭЛЕКТРИЧЕСКИХ СЕТЯХ</w:t>
      </w:r>
    </w:p>
    <w:p w14:paraId="3B668D41" w14:textId="45340F1A" w:rsidR="00AB14A5" w:rsidRPr="006F6E50" w:rsidRDefault="00AB14A5" w:rsidP="00CC23C8">
      <w:pPr>
        <w:widowControl w:val="0"/>
        <w:jc w:val="both"/>
        <w:rPr>
          <w:sz w:val="20"/>
          <w:szCs w:val="20"/>
          <w:lang w:eastAsia="en-US"/>
        </w:rPr>
      </w:pPr>
      <w:r w:rsidRPr="006F6E50">
        <w:rPr>
          <w:sz w:val="20"/>
          <w:szCs w:val="20"/>
          <w:u w:val="single"/>
          <w:lang w:eastAsia="en-US"/>
        </w:rPr>
        <w:t xml:space="preserve">Вахнина </w:t>
      </w:r>
      <w:proofErr w:type="spellStart"/>
      <w:r w:rsidRPr="006F6E50">
        <w:rPr>
          <w:sz w:val="20"/>
          <w:szCs w:val="20"/>
          <w:u w:val="single"/>
          <w:lang w:eastAsia="en-US"/>
        </w:rPr>
        <w:t>В.В</w:t>
      </w:r>
      <w:proofErr w:type="spellEnd"/>
      <w:r w:rsidRPr="006F6E50">
        <w:rPr>
          <w:sz w:val="20"/>
          <w:szCs w:val="20"/>
          <w:u w:val="single"/>
          <w:lang w:eastAsia="en-US"/>
        </w:rPr>
        <w:t>.</w:t>
      </w:r>
      <w:r w:rsidRPr="006F6E50">
        <w:rPr>
          <w:sz w:val="20"/>
          <w:szCs w:val="20"/>
          <w:lang w:eastAsia="en-US"/>
        </w:rPr>
        <w:t xml:space="preserve">, </w:t>
      </w:r>
      <w:r w:rsidR="00CF09F2" w:rsidRPr="006F6E50">
        <w:rPr>
          <w:sz w:val="20"/>
          <w:szCs w:val="20"/>
          <w:lang w:eastAsia="en-US"/>
        </w:rPr>
        <w:t xml:space="preserve">Кувшинов </w:t>
      </w:r>
      <w:proofErr w:type="spellStart"/>
      <w:r w:rsidR="00CF09F2" w:rsidRPr="006F6E50">
        <w:rPr>
          <w:sz w:val="20"/>
          <w:szCs w:val="20"/>
          <w:lang w:eastAsia="en-US"/>
        </w:rPr>
        <w:t>А.А</w:t>
      </w:r>
      <w:proofErr w:type="spellEnd"/>
      <w:r w:rsidR="00CF09F2" w:rsidRPr="006F6E50">
        <w:rPr>
          <w:sz w:val="20"/>
          <w:szCs w:val="20"/>
          <w:lang w:eastAsia="en-US"/>
        </w:rPr>
        <w:t>.</w:t>
      </w:r>
      <w:r w:rsidR="00CF09F2">
        <w:rPr>
          <w:sz w:val="20"/>
          <w:szCs w:val="20"/>
          <w:lang w:eastAsia="en-US"/>
        </w:rPr>
        <w:t xml:space="preserve">, </w:t>
      </w:r>
      <w:r w:rsidRPr="006F6E50">
        <w:rPr>
          <w:sz w:val="20"/>
          <w:szCs w:val="20"/>
          <w:lang w:eastAsia="en-US"/>
        </w:rPr>
        <w:t xml:space="preserve">Черненко </w:t>
      </w:r>
      <w:proofErr w:type="spellStart"/>
      <w:r w:rsidRPr="006F6E50">
        <w:rPr>
          <w:sz w:val="20"/>
          <w:szCs w:val="20"/>
          <w:lang w:eastAsia="en-US"/>
        </w:rPr>
        <w:t>А.Н</w:t>
      </w:r>
      <w:proofErr w:type="spellEnd"/>
      <w:r w:rsidRPr="006F6E50">
        <w:rPr>
          <w:sz w:val="20"/>
          <w:szCs w:val="20"/>
          <w:lang w:eastAsia="en-US"/>
        </w:rPr>
        <w:t xml:space="preserve">., </w:t>
      </w:r>
      <w:r w:rsidR="00A83B90" w:rsidRPr="006F6E50">
        <w:rPr>
          <w:sz w:val="20"/>
          <w:szCs w:val="20"/>
          <w:lang w:eastAsia="en-US"/>
        </w:rPr>
        <w:t xml:space="preserve">Пудовинников </w:t>
      </w:r>
      <w:proofErr w:type="spellStart"/>
      <w:r w:rsidR="00A83B90" w:rsidRPr="006F6E50">
        <w:rPr>
          <w:sz w:val="20"/>
          <w:szCs w:val="20"/>
          <w:lang w:eastAsia="en-US"/>
        </w:rPr>
        <w:t>Р.Н</w:t>
      </w:r>
      <w:proofErr w:type="spellEnd"/>
      <w:r w:rsidR="00A83B90" w:rsidRPr="006F6E50">
        <w:rPr>
          <w:sz w:val="20"/>
          <w:szCs w:val="20"/>
          <w:lang w:eastAsia="en-US"/>
        </w:rPr>
        <w:t>.</w:t>
      </w:r>
      <w:r w:rsidR="00A83B90">
        <w:rPr>
          <w:sz w:val="20"/>
          <w:szCs w:val="20"/>
          <w:lang w:eastAsia="en-US"/>
        </w:rPr>
        <w:t xml:space="preserve">, </w:t>
      </w:r>
      <w:proofErr w:type="spellStart"/>
      <w:r w:rsidRPr="006F6E50">
        <w:rPr>
          <w:sz w:val="20"/>
          <w:szCs w:val="20"/>
          <w:lang w:eastAsia="en-US"/>
        </w:rPr>
        <w:t>Федяй</w:t>
      </w:r>
      <w:proofErr w:type="spellEnd"/>
      <w:r w:rsidRPr="006F6E50">
        <w:rPr>
          <w:sz w:val="20"/>
          <w:szCs w:val="20"/>
          <w:lang w:eastAsia="en-US"/>
        </w:rPr>
        <w:t xml:space="preserve"> </w:t>
      </w:r>
      <w:proofErr w:type="spellStart"/>
      <w:r w:rsidRPr="006F6E50">
        <w:rPr>
          <w:sz w:val="20"/>
          <w:szCs w:val="20"/>
          <w:lang w:eastAsia="en-US"/>
        </w:rPr>
        <w:t>О.В</w:t>
      </w:r>
      <w:proofErr w:type="spellEnd"/>
      <w:r w:rsidRPr="006F6E50">
        <w:rPr>
          <w:sz w:val="20"/>
          <w:szCs w:val="20"/>
          <w:lang w:eastAsia="en-US"/>
        </w:rPr>
        <w:t>.</w:t>
      </w:r>
    </w:p>
    <w:p w14:paraId="6086BF61" w14:textId="77777777" w:rsidR="00CC23C8" w:rsidRPr="006F6E50" w:rsidRDefault="00CC23C8" w:rsidP="00CC23C8">
      <w:pPr>
        <w:rPr>
          <w:rFonts w:eastAsia="TimesNewRoman,Bold"/>
          <w:i/>
          <w:iCs/>
          <w:color w:val="000000"/>
          <w:sz w:val="20"/>
          <w:szCs w:val="20"/>
          <w:lang w:eastAsia="en-US"/>
        </w:rPr>
      </w:pPr>
    </w:p>
    <w:p w14:paraId="1C06D8C3" w14:textId="0B01C840" w:rsidR="00AB14A5" w:rsidRPr="006F6E50" w:rsidRDefault="00AB14A5" w:rsidP="00CC23C8">
      <w:pPr>
        <w:rPr>
          <w:rFonts w:eastAsia="TimesNewRoman,Bold"/>
          <w:i/>
          <w:iCs/>
          <w:color w:val="000000"/>
          <w:sz w:val="20"/>
          <w:szCs w:val="20"/>
          <w:lang w:eastAsia="en-US"/>
        </w:rPr>
      </w:pPr>
      <w:r w:rsidRPr="006F6E50">
        <w:rPr>
          <w:rFonts w:eastAsia="TimesNewRoman,Bold"/>
          <w:i/>
          <w:iCs/>
          <w:color w:val="000000"/>
          <w:sz w:val="20"/>
          <w:szCs w:val="20"/>
          <w:lang w:eastAsia="en-US"/>
        </w:rPr>
        <w:t>Тольяттинский государственный у</w:t>
      </w:r>
      <w:r w:rsidR="00B86B08" w:rsidRPr="006F6E50">
        <w:rPr>
          <w:rFonts w:eastAsia="TimesNewRoman,Bold"/>
          <w:i/>
          <w:iCs/>
          <w:color w:val="000000"/>
          <w:sz w:val="20"/>
          <w:szCs w:val="20"/>
          <w:lang w:eastAsia="en-US"/>
        </w:rPr>
        <w:t>ниверситет, г. Тольятти, Россия</w:t>
      </w:r>
    </w:p>
    <w:p w14:paraId="0B998819" w14:textId="2F6047D6" w:rsidR="00AB14A5" w:rsidRPr="006F6E50" w:rsidRDefault="00CC23C8" w:rsidP="00CC23C8">
      <w:pPr>
        <w:jc w:val="both"/>
        <w:rPr>
          <w:sz w:val="20"/>
          <w:szCs w:val="20"/>
          <w:lang w:eastAsia="en-US"/>
        </w:rPr>
      </w:pPr>
      <w:r w:rsidRPr="006F6E50">
        <w:rPr>
          <w:rFonts w:eastAsia="TimesNewRoman,Bold"/>
          <w:i/>
          <w:iCs/>
          <w:color w:val="000000"/>
          <w:sz w:val="20"/>
          <w:szCs w:val="20"/>
          <w:lang w:eastAsia="en-US"/>
        </w:rPr>
        <w:t>VVVahnina@yandex.ru</w:t>
      </w:r>
    </w:p>
    <w:p w14:paraId="633FBBFC" w14:textId="77777777" w:rsidR="00CC23C8" w:rsidRPr="006F6E50" w:rsidRDefault="00CC23C8" w:rsidP="00CC23C8">
      <w:pPr>
        <w:jc w:val="both"/>
        <w:rPr>
          <w:sz w:val="20"/>
          <w:szCs w:val="20"/>
          <w:lang w:eastAsia="en-US"/>
        </w:rPr>
      </w:pPr>
    </w:p>
    <w:p w14:paraId="5B586B92" w14:textId="31CEDF11" w:rsidR="006F6E50" w:rsidRPr="00285B98" w:rsidRDefault="006F6E50" w:rsidP="00BB5E70">
      <w:pPr>
        <w:jc w:val="both"/>
        <w:rPr>
          <w:sz w:val="20"/>
          <w:szCs w:val="20"/>
          <w:lang w:eastAsia="en-US"/>
        </w:rPr>
      </w:pPr>
      <w:r w:rsidRPr="00285B98">
        <w:rPr>
          <w:b/>
          <w:color w:val="000000"/>
          <w:kern w:val="2"/>
          <w:sz w:val="20"/>
          <w:szCs w:val="20"/>
        </w:rPr>
        <w:t xml:space="preserve">Аннотация. </w:t>
      </w:r>
      <w:r w:rsidR="00492C77" w:rsidRPr="00285B98">
        <w:rPr>
          <w:sz w:val="20"/>
          <w:szCs w:val="20"/>
          <w:lang w:eastAsia="en-US"/>
        </w:rPr>
        <w:t>Предложено</w:t>
      </w:r>
      <w:r w:rsidRPr="00285B98">
        <w:rPr>
          <w:sz w:val="20"/>
          <w:szCs w:val="20"/>
          <w:lang w:eastAsia="en-US"/>
        </w:rPr>
        <w:t xml:space="preserve"> </w:t>
      </w:r>
      <w:r w:rsidR="00BB5E70" w:rsidRPr="00285B98">
        <w:rPr>
          <w:sz w:val="20"/>
          <w:szCs w:val="20"/>
          <w:lang w:eastAsia="en-US"/>
        </w:rPr>
        <w:t>регистрацию</w:t>
      </w:r>
      <w:r w:rsidR="00492C77" w:rsidRPr="00285B98">
        <w:rPr>
          <w:sz w:val="20"/>
          <w:szCs w:val="20"/>
          <w:lang w:eastAsia="en-US"/>
        </w:rPr>
        <w:t xml:space="preserve"> геоиндуцированных токов </w:t>
      </w:r>
      <w:r w:rsidR="00BB5E70" w:rsidRPr="00285B98">
        <w:rPr>
          <w:sz w:val="20"/>
          <w:szCs w:val="20"/>
          <w:lang w:eastAsia="en-US"/>
        </w:rPr>
        <w:t xml:space="preserve">осуществлять в </w:t>
      </w:r>
      <w:r w:rsidR="00492C77" w:rsidRPr="00285B98">
        <w:rPr>
          <w:sz w:val="20"/>
          <w:szCs w:val="20"/>
          <w:lang w:eastAsia="en-US"/>
        </w:rPr>
        <w:t>критически</w:t>
      </w:r>
      <w:r w:rsidR="00BB5E70" w:rsidRPr="00285B98">
        <w:rPr>
          <w:sz w:val="20"/>
          <w:szCs w:val="20"/>
          <w:lang w:eastAsia="en-US"/>
        </w:rPr>
        <w:t>х</w:t>
      </w:r>
      <w:r w:rsidR="00492C77" w:rsidRPr="00285B98">
        <w:rPr>
          <w:sz w:val="20"/>
          <w:szCs w:val="20"/>
          <w:lang w:eastAsia="en-US"/>
        </w:rPr>
        <w:t xml:space="preserve"> узл</w:t>
      </w:r>
      <w:r w:rsidR="00BB5E70" w:rsidRPr="00285B98">
        <w:rPr>
          <w:sz w:val="20"/>
          <w:szCs w:val="20"/>
          <w:lang w:eastAsia="en-US"/>
        </w:rPr>
        <w:t>ах</w:t>
      </w:r>
      <w:r w:rsidR="00492C77" w:rsidRPr="00285B98">
        <w:rPr>
          <w:sz w:val="20"/>
          <w:szCs w:val="20"/>
          <w:lang w:eastAsia="en-US"/>
        </w:rPr>
        <w:t xml:space="preserve"> электрической сети, выбор которых обусловлен топологией сети и конструкцией магнитной системы силовых трансформаторов. </w:t>
      </w:r>
      <w:r w:rsidR="00BB5E70" w:rsidRPr="00285B98">
        <w:rPr>
          <w:sz w:val="20"/>
          <w:szCs w:val="20"/>
          <w:lang w:eastAsia="en-US"/>
        </w:rPr>
        <w:t xml:space="preserve">Выполнен анализ существующих систем мониторинга </w:t>
      </w:r>
      <w:r w:rsidR="00E27249" w:rsidRPr="00285B98">
        <w:rPr>
          <w:sz w:val="20"/>
          <w:szCs w:val="20"/>
          <w:lang w:eastAsia="en-US"/>
        </w:rPr>
        <w:t>с</w:t>
      </w:r>
      <w:r w:rsidR="00BB5E70" w:rsidRPr="00285B98">
        <w:rPr>
          <w:sz w:val="20"/>
          <w:szCs w:val="20"/>
          <w:lang w:eastAsia="en-US"/>
        </w:rPr>
        <w:t xml:space="preserve"> </w:t>
      </w:r>
      <w:r w:rsidR="00E27249" w:rsidRPr="00285B98">
        <w:rPr>
          <w:sz w:val="20"/>
          <w:szCs w:val="20"/>
          <w:lang w:eastAsia="en-US"/>
        </w:rPr>
        <w:t>различными</w:t>
      </w:r>
      <w:r w:rsidR="00BB5E70" w:rsidRPr="00285B98">
        <w:rPr>
          <w:sz w:val="20"/>
          <w:szCs w:val="20"/>
          <w:lang w:eastAsia="en-US"/>
        </w:rPr>
        <w:t xml:space="preserve"> тип</w:t>
      </w:r>
      <w:r w:rsidR="00E27249" w:rsidRPr="00285B98">
        <w:rPr>
          <w:sz w:val="20"/>
          <w:szCs w:val="20"/>
          <w:lang w:eastAsia="en-US"/>
        </w:rPr>
        <w:t>ами</w:t>
      </w:r>
      <w:r w:rsidR="00BB5E70" w:rsidRPr="00285B98">
        <w:rPr>
          <w:sz w:val="20"/>
          <w:szCs w:val="20"/>
          <w:lang w:eastAsia="en-US"/>
        </w:rPr>
        <w:t xml:space="preserve"> измерительных преобразователей </w:t>
      </w:r>
      <w:r w:rsidR="00E27249" w:rsidRPr="00285B98">
        <w:rPr>
          <w:sz w:val="20"/>
          <w:szCs w:val="20"/>
          <w:lang w:eastAsia="en-US"/>
        </w:rPr>
        <w:t xml:space="preserve">с элементом Холла, устанавливаемых в нейтраль силового трансформатора. Приведена количественная оценка геоиндуцированных токов в нейтралях силовых трансформаторов в зависимости от интенсивности геомагнитных возмущений и параметров электрической сети. </w:t>
      </w:r>
      <w:r w:rsidRPr="00285B98">
        <w:rPr>
          <w:sz w:val="20"/>
          <w:szCs w:val="20"/>
          <w:lang w:eastAsia="en-US"/>
        </w:rPr>
        <w:t xml:space="preserve">Обоснован выбор предела преобразования измерительного преобразователя с элементом Холла, который должен осуществляться не только с учетом ожидаемой величины </w:t>
      </w:r>
      <w:r w:rsidR="009865E8" w:rsidRPr="00285B98">
        <w:rPr>
          <w:sz w:val="20"/>
          <w:szCs w:val="20"/>
          <w:lang w:eastAsia="en-US"/>
        </w:rPr>
        <w:t>геоиндуцированных токов</w:t>
      </w:r>
      <w:r w:rsidRPr="00285B98">
        <w:rPr>
          <w:sz w:val="20"/>
          <w:szCs w:val="20"/>
          <w:lang w:eastAsia="en-US"/>
        </w:rPr>
        <w:t xml:space="preserve">, но и </w:t>
      </w:r>
      <w:r w:rsidR="00BB5E70" w:rsidRPr="00285B98">
        <w:rPr>
          <w:sz w:val="20"/>
          <w:szCs w:val="20"/>
          <w:lang w:eastAsia="en-US"/>
        </w:rPr>
        <w:t xml:space="preserve">фоновых </w:t>
      </w:r>
      <w:r w:rsidRPr="00285B98">
        <w:rPr>
          <w:sz w:val="20"/>
          <w:szCs w:val="20"/>
          <w:lang w:eastAsia="en-US"/>
        </w:rPr>
        <w:t>токо</w:t>
      </w:r>
      <w:r w:rsidR="00BB5E70" w:rsidRPr="00285B98">
        <w:rPr>
          <w:sz w:val="20"/>
          <w:szCs w:val="20"/>
          <w:lang w:eastAsia="en-US"/>
        </w:rPr>
        <w:t xml:space="preserve">в, обусловленных </w:t>
      </w:r>
      <w:proofErr w:type="spellStart"/>
      <w:r w:rsidR="00BB5E70" w:rsidRPr="00285B98">
        <w:rPr>
          <w:sz w:val="20"/>
          <w:szCs w:val="20"/>
          <w:lang w:eastAsia="en-US"/>
        </w:rPr>
        <w:t>несимметрией</w:t>
      </w:r>
      <w:proofErr w:type="spellEnd"/>
      <w:r w:rsidR="00BB5E70" w:rsidRPr="00285B98">
        <w:rPr>
          <w:sz w:val="20"/>
          <w:szCs w:val="20"/>
          <w:lang w:eastAsia="en-US"/>
        </w:rPr>
        <w:t xml:space="preserve"> и </w:t>
      </w:r>
      <w:proofErr w:type="spellStart"/>
      <w:r w:rsidR="00BB5E70" w:rsidRPr="00285B98">
        <w:rPr>
          <w:sz w:val="20"/>
          <w:szCs w:val="20"/>
          <w:lang w:eastAsia="en-US"/>
        </w:rPr>
        <w:t>несинусоидальностью</w:t>
      </w:r>
      <w:proofErr w:type="spellEnd"/>
      <w:r w:rsidR="00BB5E70" w:rsidRPr="00285B98">
        <w:rPr>
          <w:sz w:val="20"/>
          <w:szCs w:val="20"/>
          <w:lang w:eastAsia="en-US"/>
        </w:rPr>
        <w:t xml:space="preserve"> </w:t>
      </w:r>
      <w:r w:rsidRPr="00285B98">
        <w:rPr>
          <w:sz w:val="20"/>
          <w:szCs w:val="20"/>
          <w:lang w:eastAsia="en-US"/>
        </w:rPr>
        <w:t>фазных напряжений в узле включения силового трансформатора.</w:t>
      </w:r>
      <w:r w:rsidR="009865E8" w:rsidRPr="00285B98">
        <w:rPr>
          <w:sz w:val="20"/>
          <w:szCs w:val="20"/>
          <w:lang w:eastAsia="en-US"/>
        </w:rPr>
        <w:t xml:space="preserve"> </w:t>
      </w:r>
      <w:r w:rsidR="00E27249" w:rsidRPr="00285B98">
        <w:rPr>
          <w:sz w:val="20"/>
          <w:szCs w:val="20"/>
          <w:lang w:eastAsia="en-US"/>
        </w:rPr>
        <w:t>Для мониторинга геоиндуцированных токов в нейтрали силового трансформатора предложено использовать измерительный преобразователь прямого усиления с элементом Холла, допустимая перегрузка которого достаточна для безопасного протекания токов однофазного короткого замыкания.</w:t>
      </w:r>
    </w:p>
    <w:p w14:paraId="02258F19" w14:textId="77777777" w:rsidR="006F6E50" w:rsidRDefault="006F6E50" w:rsidP="009867F3">
      <w:pPr>
        <w:ind w:firstLine="708"/>
        <w:jc w:val="both"/>
        <w:rPr>
          <w:sz w:val="20"/>
          <w:szCs w:val="20"/>
          <w:lang w:eastAsia="en-US"/>
        </w:rPr>
      </w:pPr>
    </w:p>
    <w:p w14:paraId="0674F3D9" w14:textId="36A3583E" w:rsidR="00E27249" w:rsidRPr="00E27249" w:rsidRDefault="00E27249" w:rsidP="00E27249">
      <w:pPr>
        <w:jc w:val="both"/>
        <w:rPr>
          <w:b/>
          <w:bCs/>
          <w:sz w:val="20"/>
          <w:szCs w:val="20"/>
          <w:lang w:eastAsia="en-US"/>
        </w:rPr>
      </w:pPr>
      <w:r w:rsidRPr="00E27249">
        <w:rPr>
          <w:b/>
          <w:bCs/>
          <w:sz w:val="20"/>
          <w:szCs w:val="20"/>
          <w:lang w:eastAsia="en-US"/>
        </w:rPr>
        <w:t>Введение</w:t>
      </w:r>
    </w:p>
    <w:p w14:paraId="7C686D00" w14:textId="702CEC5F" w:rsidR="006F6E50" w:rsidRDefault="006F6E50" w:rsidP="00E27249">
      <w:pPr>
        <w:jc w:val="both"/>
        <w:rPr>
          <w:sz w:val="20"/>
          <w:szCs w:val="20"/>
          <w:lang w:eastAsia="en-US"/>
        </w:rPr>
      </w:pPr>
      <w:r>
        <w:rPr>
          <w:sz w:val="20"/>
          <w:szCs w:val="20"/>
          <w:lang w:eastAsia="en-US"/>
        </w:rPr>
        <w:t>М</w:t>
      </w:r>
      <w:r w:rsidRPr="006F6E50">
        <w:rPr>
          <w:sz w:val="20"/>
          <w:szCs w:val="20"/>
          <w:lang w:eastAsia="en-US"/>
        </w:rPr>
        <w:t xml:space="preserve">ониторинг </w:t>
      </w:r>
      <w:r>
        <w:rPr>
          <w:sz w:val="20"/>
          <w:szCs w:val="20"/>
          <w:lang w:eastAsia="en-US"/>
        </w:rPr>
        <w:t>геоиндуцированных токов (</w:t>
      </w:r>
      <w:r w:rsidRPr="006F6E50">
        <w:rPr>
          <w:sz w:val="20"/>
          <w:szCs w:val="20"/>
          <w:lang w:eastAsia="en-US"/>
        </w:rPr>
        <w:t>ГИТ</w:t>
      </w:r>
      <w:r>
        <w:rPr>
          <w:sz w:val="20"/>
          <w:szCs w:val="20"/>
          <w:lang w:eastAsia="en-US"/>
        </w:rPr>
        <w:t>) при геомагнитных бурях</w:t>
      </w:r>
      <w:r w:rsidRPr="006F6E50">
        <w:rPr>
          <w:sz w:val="20"/>
          <w:szCs w:val="20"/>
          <w:lang w:eastAsia="en-US"/>
        </w:rPr>
        <w:t xml:space="preserve"> </w:t>
      </w:r>
      <w:r>
        <w:rPr>
          <w:sz w:val="20"/>
          <w:szCs w:val="20"/>
          <w:lang w:eastAsia="en-US"/>
        </w:rPr>
        <w:t>(</w:t>
      </w:r>
      <w:proofErr w:type="spellStart"/>
      <w:r>
        <w:rPr>
          <w:sz w:val="20"/>
          <w:szCs w:val="20"/>
          <w:lang w:eastAsia="en-US"/>
        </w:rPr>
        <w:t>ГМБ</w:t>
      </w:r>
      <w:proofErr w:type="spellEnd"/>
      <w:r>
        <w:rPr>
          <w:sz w:val="20"/>
          <w:szCs w:val="20"/>
          <w:lang w:eastAsia="en-US"/>
        </w:rPr>
        <w:t xml:space="preserve">) </w:t>
      </w:r>
      <w:r w:rsidRPr="006F6E50">
        <w:rPr>
          <w:sz w:val="20"/>
          <w:szCs w:val="20"/>
          <w:lang w:eastAsia="en-US"/>
        </w:rPr>
        <w:t xml:space="preserve">в различных узлах электрической сети может использоваться не только для оценки степени угрозы конкретному силовому трансформатору, но и для формирования текущей оценки дополнительной реактивной нагрузки, появляющейся только в периоды </w:t>
      </w:r>
      <w:proofErr w:type="spellStart"/>
      <w:r w:rsidRPr="006F6E50">
        <w:rPr>
          <w:sz w:val="20"/>
          <w:szCs w:val="20"/>
          <w:lang w:eastAsia="en-US"/>
        </w:rPr>
        <w:t>ГМБ</w:t>
      </w:r>
      <w:proofErr w:type="spellEnd"/>
      <w:r w:rsidRPr="006F6E50">
        <w:rPr>
          <w:sz w:val="20"/>
          <w:szCs w:val="20"/>
          <w:lang w:eastAsia="en-US"/>
        </w:rPr>
        <w:t xml:space="preserve"> из-за насыщения силовых трансформаторов и создающей опасный дефицит реактивной мощности.</w:t>
      </w:r>
      <w:r>
        <w:rPr>
          <w:sz w:val="20"/>
          <w:szCs w:val="20"/>
          <w:lang w:eastAsia="en-US"/>
        </w:rPr>
        <w:t xml:space="preserve"> </w:t>
      </w:r>
      <w:r w:rsidRPr="006F6E50">
        <w:rPr>
          <w:sz w:val="20"/>
          <w:szCs w:val="20"/>
          <w:lang w:eastAsia="en-US"/>
        </w:rPr>
        <w:t>В этой связи, актуальной является задача определения основных требований к системе мониторинга ГИТ в критических узлах электрической сети, силовые трансформаторы в которых наиболее уязвимы к воздействию ГИТ с точки зрения насыщения магнитной системы.</w:t>
      </w:r>
      <w:r w:rsidR="00AF408F">
        <w:rPr>
          <w:sz w:val="20"/>
          <w:szCs w:val="20"/>
          <w:lang w:eastAsia="en-US"/>
        </w:rPr>
        <w:t xml:space="preserve"> Однако о</w:t>
      </w:r>
      <w:r w:rsidR="00AF408F" w:rsidRPr="00AF408F">
        <w:rPr>
          <w:sz w:val="20"/>
          <w:szCs w:val="20"/>
          <w:lang w:eastAsia="en-US"/>
        </w:rPr>
        <w:t>сновн</w:t>
      </w:r>
      <w:r w:rsidR="00AF408F">
        <w:rPr>
          <w:sz w:val="20"/>
          <w:szCs w:val="20"/>
          <w:lang w:eastAsia="en-US"/>
        </w:rPr>
        <w:t>ой</w:t>
      </w:r>
      <w:r w:rsidR="00AF408F" w:rsidRPr="00AF408F">
        <w:rPr>
          <w:sz w:val="20"/>
          <w:szCs w:val="20"/>
          <w:lang w:eastAsia="en-US"/>
        </w:rPr>
        <w:t xml:space="preserve"> сложность</w:t>
      </w:r>
      <w:r w:rsidR="00AF408F">
        <w:rPr>
          <w:sz w:val="20"/>
          <w:szCs w:val="20"/>
          <w:lang w:eastAsia="en-US"/>
        </w:rPr>
        <w:t>ю</w:t>
      </w:r>
      <w:r w:rsidR="00AF408F" w:rsidRPr="00AF408F">
        <w:rPr>
          <w:sz w:val="20"/>
          <w:szCs w:val="20"/>
          <w:lang w:eastAsia="en-US"/>
        </w:rPr>
        <w:t xml:space="preserve"> в осуществлении процессов мониторинга и регистрации ГИТ </w:t>
      </w:r>
      <w:r w:rsidR="009D4667">
        <w:rPr>
          <w:sz w:val="20"/>
          <w:szCs w:val="20"/>
          <w:lang w:eastAsia="en-US"/>
        </w:rPr>
        <w:t>является то</w:t>
      </w:r>
      <w:r w:rsidR="00AF408F" w:rsidRPr="00AF408F">
        <w:rPr>
          <w:sz w:val="20"/>
          <w:szCs w:val="20"/>
          <w:lang w:eastAsia="en-US"/>
        </w:rPr>
        <w:t xml:space="preserve">, что во временной области ГИТ представляют собой реализацию непрерывного случайного процесса в виде непрерывной последовательности однополярных выбросов со случайными вариациями амплитуды и длительности. Дополнительная сложность вызвана протеканием в нейтрали силового трансформатора при отсутствии геомагнитных возмущений «фонового» тока со сложным гармоническим составом, обусловленных </w:t>
      </w:r>
      <w:proofErr w:type="spellStart"/>
      <w:r w:rsidR="00AF408F" w:rsidRPr="00AF408F">
        <w:rPr>
          <w:sz w:val="20"/>
          <w:szCs w:val="20"/>
          <w:lang w:eastAsia="en-US"/>
        </w:rPr>
        <w:t>несимметрией</w:t>
      </w:r>
      <w:proofErr w:type="spellEnd"/>
      <w:r w:rsidR="00AF408F" w:rsidRPr="00AF408F">
        <w:rPr>
          <w:sz w:val="20"/>
          <w:szCs w:val="20"/>
          <w:lang w:eastAsia="en-US"/>
        </w:rPr>
        <w:t xml:space="preserve"> и </w:t>
      </w:r>
      <w:proofErr w:type="spellStart"/>
      <w:r w:rsidR="00AF408F" w:rsidRPr="00AF408F">
        <w:rPr>
          <w:sz w:val="20"/>
          <w:szCs w:val="20"/>
          <w:lang w:eastAsia="en-US"/>
        </w:rPr>
        <w:t>несинусоидальностью</w:t>
      </w:r>
      <w:proofErr w:type="spellEnd"/>
      <w:r w:rsidR="00AF408F" w:rsidRPr="00AF408F">
        <w:rPr>
          <w:sz w:val="20"/>
          <w:szCs w:val="20"/>
          <w:lang w:eastAsia="en-US"/>
        </w:rPr>
        <w:t xml:space="preserve"> фазных напряжений электрической сети в узле включения силового трансформатора.</w:t>
      </w:r>
    </w:p>
    <w:p w14:paraId="0E1C7817" w14:textId="796E69F3" w:rsidR="00A83B90" w:rsidRPr="009D4667" w:rsidRDefault="009D4667" w:rsidP="00E27249">
      <w:pPr>
        <w:rPr>
          <w:b/>
          <w:bCs/>
          <w:sz w:val="20"/>
          <w:szCs w:val="20"/>
          <w:lang w:eastAsia="en-US"/>
        </w:rPr>
      </w:pPr>
      <w:r w:rsidRPr="00280B36">
        <w:rPr>
          <w:b/>
          <w:bCs/>
          <w:sz w:val="20"/>
          <w:szCs w:val="20"/>
          <w:lang w:eastAsia="en-US"/>
        </w:rPr>
        <w:t xml:space="preserve">Комплексный подход </w:t>
      </w:r>
      <w:r w:rsidR="00442522" w:rsidRPr="00280B36">
        <w:rPr>
          <w:b/>
          <w:bCs/>
          <w:sz w:val="20"/>
          <w:szCs w:val="20"/>
          <w:lang w:eastAsia="en-US"/>
        </w:rPr>
        <w:t>к</w:t>
      </w:r>
      <w:r w:rsidRPr="00280B36">
        <w:rPr>
          <w:b/>
          <w:bCs/>
          <w:sz w:val="20"/>
          <w:szCs w:val="20"/>
          <w:lang w:eastAsia="en-US"/>
        </w:rPr>
        <w:t xml:space="preserve"> определени</w:t>
      </w:r>
      <w:r w:rsidR="00442522" w:rsidRPr="00280B36">
        <w:rPr>
          <w:b/>
          <w:bCs/>
          <w:sz w:val="20"/>
          <w:szCs w:val="20"/>
          <w:lang w:eastAsia="en-US"/>
        </w:rPr>
        <w:t>ю</w:t>
      </w:r>
      <w:r w:rsidRPr="00280B36">
        <w:rPr>
          <w:b/>
          <w:bCs/>
          <w:sz w:val="20"/>
          <w:szCs w:val="20"/>
          <w:lang w:eastAsia="en-US"/>
        </w:rPr>
        <w:t xml:space="preserve"> геоиндуцированных токов в электрической сети</w:t>
      </w:r>
    </w:p>
    <w:p w14:paraId="7337435A" w14:textId="057E9599" w:rsidR="009D4667" w:rsidRDefault="00A83B90" w:rsidP="00280B36">
      <w:pPr>
        <w:ind w:firstLine="142"/>
        <w:jc w:val="both"/>
        <w:rPr>
          <w:sz w:val="20"/>
          <w:szCs w:val="20"/>
          <w:lang w:eastAsia="en-US"/>
        </w:rPr>
      </w:pPr>
      <w:r w:rsidRPr="00A83B90">
        <w:rPr>
          <w:sz w:val="20"/>
          <w:szCs w:val="20"/>
          <w:lang w:eastAsia="en-US"/>
        </w:rPr>
        <w:t xml:space="preserve">Режим работы силового трансформатора в условиях насыщения магнитной системы под воздействием ГИТ необходимо идентифицировать как аномальный режим, который с учетом кумулятивного характера воздействия может развиться в аварийный режим, сопровождающийся повреждением силового трансформатора. Кроме того, силовой трансформатор, магнитная система которого находится в состоянии насыщения, становится источником дополнительной реактивной нагрузки на электрическую сеть. Поэтому идентификация аномального режима необходима для принятия адекватных оперативно-диспетчерских решений, например, по снижению нагрузки силового трансформатора, компенсации дополнительной реактивной нагрузки на электрическую сеть. </w:t>
      </w:r>
      <w:r w:rsidR="009D4667">
        <w:rPr>
          <w:sz w:val="20"/>
          <w:szCs w:val="20"/>
          <w:lang w:eastAsia="en-US"/>
        </w:rPr>
        <w:t>Для этого необходим комплексный подход</w:t>
      </w:r>
      <w:r w:rsidR="00442522">
        <w:rPr>
          <w:sz w:val="20"/>
          <w:szCs w:val="20"/>
          <w:lang w:eastAsia="en-US"/>
        </w:rPr>
        <w:t xml:space="preserve"> к определению ГИТ, учитывающий ряд требований:</w:t>
      </w:r>
    </w:p>
    <w:p w14:paraId="2D03CFAE" w14:textId="77777777" w:rsidR="00A83B90" w:rsidRPr="00997816" w:rsidRDefault="00A83B90" w:rsidP="00280B36">
      <w:pPr>
        <w:ind w:firstLine="142"/>
        <w:jc w:val="both"/>
        <w:rPr>
          <w:sz w:val="20"/>
          <w:szCs w:val="20"/>
          <w:lang w:eastAsia="en-US"/>
        </w:rPr>
      </w:pPr>
      <w:r w:rsidRPr="00A83B90">
        <w:rPr>
          <w:sz w:val="20"/>
          <w:szCs w:val="20"/>
          <w:lang w:eastAsia="en-US"/>
        </w:rPr>
        <w:t xml:space="preserve">- учитывать топологию электрической </w:t>
      </w:r>
      <w:r w:rsidRPr="00997816">
        <w:rPr>
          <w:sz w:val="20"/>
          <w:szCs w:val="20"/>
          <w:lang w:eastAsia="en-US"/>
        </w:rPr>
        <w:t>сети и выбирать для регистрации ГИТ критические узлы, в которых возможны максимальные уровни ГИТ;</w:t>
      </w:r>
    </w:p>
    <w:p w14:paraId="06430FA5" w14:textId="77777777" w:rsidR="00A83B90" w:rsidRPr="00997816" w:rsidRDefault="00A83B90" w:rsidP="00280B36">
      <w:pPr>
        <w:ind w:firstLine="142"/>
        <w:jc w:val="both"/>
        <w:rPr>
          <w:sz w:val="20"/>
          <w:szCs w:val="20"/>
          <w:lang w:eastAsia="en-US"/>
        </w:rPr>
      </w:pPr>
      <w:r w:rsidRPr="00997816">
        <w:rPr>
          <w:sz w:val="20"/>
          <w:szCs w:val="20"/>
          <w:lang w:eastAsia="en-US"/>
        </w:rPr>
        <w:t>- выбирать для регистрации ГИТ силовые трансформаторы с бронестержневой магнитной системой и трехфазные группы однофазных силовых трансформаторов с броневой магнитной системой как наиболее уязвимые для воздействия ГИТ и подверженные опасности насыщения магнитной системы под воздействием даже ГИТ, соизмеримых с токами холостого хода;</w:t>
      </w:r>
    </w:p>
    <w:p w14:paraId="55BBE0B7" w14:textId="77777777" w:rsidR="00A83B90" w:rsidRPr="00997816" w:rsidRDefault="00A83B90" w:rsidP="00280B36">
      <w:pPr>
        <w:ind w:firstLine="142"/>
        <w:jc w:val="both"/>
        <w:rPr>
          <w:sz w:val="20"/>
          <w:szCs w:val="20"/>
          <w:lang w:eastAsia="en-US"/>
        </w:rPr>
      </w:pPr>
      <w:r w:rsidRPr="00997816">
        <w:rPr>
          <w:sz w:val="20"/>
          <w:szCs w:val="20"/>
          <w:lang w:eastAsia="en-US"/>
        </w:rPr>
        <w:t>- приоритетными для регистрации ГИТ должны являться критические узлы электрической сети, в которых установлены трехфазные силовые трансформаторы с бронестержневой магнитной системой и трехфазные группы однофазных силовых трансформаторов;</w:t>
      </w:r>
    </w:p>
    <w:p w14:paraId="23A8BA07" w14:textId="77777777" w:rsidR="00A83B90" w:rsidRPr="00997816" w:rsidRDefault="00A83B90" w:rsidP="00280B36">
      <w:pPr>
        <w:ind w:firstLine="142"/>
        <w:jc w:val="both"/>
        <w:rPr>
          <w:sz w:val="20"/>
          <w:szCs w:val="20"/>
          <w:lang w:eastAsia="en-US"/>
        </w:rPr>
      </w:pPr>
      <w:r w:rsidRPr="00997816">
        <w:rPr>
          <w:sz w:val="20"/>
          <w:szCs w:val="20"/>
          <w:lang w:eastAsia="en-US"/>
        </w:rPr>
        <w:t>- измерительный преобразователь тока для регистрации ГИТ должен допускать возможность длительной регистрации как постоянной составляющей тока нейтрали силового трансформатора, так и гармоник тока намагничивания;</w:t>
      </w:r>
    </w:p>
    <w:p w14:paraId="78977BFA" w14:textId="77777777" w:rsidR="00820CAE" w:rsidRPr="00997816" w:rsidRDefault="00820CAE" w:rsidP="00820CAE">
      <w:pPr>
        <w:ind w:firstLine="142"/>
        <w:jc w:val="both"/>
        <w:rPr>
          <w:sz w:val="20"/>
          <w:szCs w:val="20"/>
          <w:lang w:eastAsia="en-US"/>
        </w:rPr>
      </w:pPr>
      <w:r w:rsidRPr="00997816">
        <w:rPr>
          <w:sz w:val="20"/>
          <w:szCs w:val="20"/>
          <w:lang w:eastAsia="en-US"/>
        </w:rPr>
        <w:t>- частота измеряемого ГИТ от 0 Гц до 0,1 Гц;</w:t>
      </w:r>
    </w:p>
    <w:p w14:paraId="1AF56773" w14:textId="6477425D" w:rsidR="00A83B90" w:rsidRPr="00997816" w:rsidRDefault="00A83B90" w:rsidP="00280B36">
      <w:pPr>
        <w:ind w:firstLine="142"/>
        <w:jc w:val="both"/>
        <w:rPr>
          <w:sz w:val="20"/>
          <w:szCs w:val="20"/>
          <w:lang w:eastAsia="en-US"/>
        </w:rPr>
      </w:pPr>
      <w:r w:rsidRPr="00997816">
        <w:rPr>
          <w:sz w:val="20"/>
          <w:szCs w:val="20"/>
          <w:lang w:eastAsia="en-US"/>
        </w:rPr>
        <w:lastRenderedPageBreak/>
        <w:t xml:space="preserve">- измерительный преобразователь тока для регистрации ГИТ должен выдерживать протекание тока однофазного короткого </w:t>
      </w:r>
      <w:r w:rsidR="0004569F" w:rsidRPr="00997816">
        <w:rPr>
          <w:sz w:val="20"/>
          <w:szCs w:val="20"/>
          <w:lang w:eastAsia="en-US"/>
        </w:rPr>
        <w:t>замыкания</w:t>
      </w:r>
      <w:r w:rsidRPr="00997816">
        <w:rPr>
          <w:sz w:val="20"/>
          <w:szCs w:val="20"/>
          <w:lang w:eastAsia="en-US"/>
        </w:rPr>
        <w:t xml:space="preserve"> в течение нескольких периодов сетевого напряжения до отключения силового трансформатора действием релейной защиты;</w:t>
      </w:r>
    </w:p>
    <w:p w14:paraId="538E7680" w14:textId="77777777" w:rsidR="00A83B90" w:rsidRPr="00997816" w:rsidRDefault="00A83B90" w:rsidP="00280B36">
      <w:pPr>
        <w:ind w:firstLine="142"/>
        <w:jc w:val="both"/>
        <w:rPr>
          <w:sz w:val="20"/>
          <w:szCs w:val="20"/>
          <w:lang w:eastAsia="en-US"/>
        </w:rPr>
      </w:pPr>
      <w:r w:rsidRPr="00997816">
        <w:rPr>
          <w:sz w:val="20"/>
          <w:szCs w:val="20"/>
          <w:lang w:eastAsia="en-US"/>
        </w:rPr>
        <w:t xml:space="preserve">- выходной сигнал измерительного преобразователя тока должен передаваться на </w:t>
      </w:r>
      <w:proofErr w:type="spellStart"/>
      <w:r w:rsidRPr="00997816">
        <w:rPr>
          <w:sz w:val="20"/>
          <w:szCs w:val="20"/>
          <w:lang w:eastAsia="en-US"/>
        </w:rPr>
        <w:t>общеподстанционный</w:t>
      </w:r>
      <w:proofErr w:type="spellEnd"/>
      <w:r w:rsidRPr="00997816">
        <w:rPr>
          <w:sz w:val="20"/>
          <w:szCs w:val="20"/>
          <w:lang w:eastAsia="en-US"/>
        </w:rPr>
        <w:t xml:space="preserve"> пункт управления для последующей обработки и интеграции с системной автоматикой, например, с автоматикой ограничения снижения напряжения;</w:t>
      </w:r>
    </w:p>
    <w:p w14:paraId="1B64F088" w14:textId="77777777" w:rsidR="00A83B90" w:rsidRPr="00997816" w:rsidRDefault="00A83B90" w:rsidP="00280B36">
      <w:pPr>
        <w:ind w:firstLine="142"/>
        <w:jc w:val="both"/>
        <w:rPr>
          <w:sz w:val="20"/>
          <w:szCs w:val="20"/>
          <w:lang w:eastAsia="en-US"/>
        </w:rPr>
      </w:pPr>
      <w:r w:rsidRPr="00997816">
        <w:rPr>
          <w:sz w:val="20"/>
          <w:szCs w:val="20"/>
          <w:lang w:eastAsia="en-US"/>
        </w:rPr>
        <w:t>- измерительный преобразователь тока для регистрации ГИТ должен устанавливаться на шину, соединяющую вывод нейтрали силового трансформатора с заземляющим устройством, и допускать возможность эксплуатации на открытой площадке в условиях умеренного и холодного климата.</w:t>
      </w:r>
    </w:p>
    <w:p w14:paraId="26D35A4F" w14:textId="61594EE0" w:rsidR="006F6E50" w:rsidRPr="00997816" w:rsidRDefault="00A83B90" w:rsidP="00280B36">
      <w:pPr>
        <w:ind w:firstLine="142"/>
        <w:jc w:val="both"/>
        <w:rPr>
          <w:sz w:val="20"/>
          <w:szCs w:val="20"/>
          <w:lang w:eastAsia="en-US"/>
        </w:rPr>
      </w:pPr>
      <w:r w:rsidRPr="00997816">
        <w:rPr>
          <w:sz w:val="20"/>
          <w:szCs w:val="20"/>
          <w:lang w:eastAsia="en-US"/>
        </w:rPr>
        <w:t>При выполнении указанных требований будут регистрироваться только те ГИТ, которые представляют опасность, поскольку вызывают насыщение магнитной системы силовых трансформаторов. Кроме того, при минимальном количестве точек регистрации будет обеспечиваться возможность оценки уязвимости электрической сети в целом к воздействию ГИТ по критерию дефицита реактивной мощности и перспективы последующего развития «лавины» напряжения.</w:t>
      </w:r>
    </w:p>
    <w:p w14:paraId="566CFB74" w14:textId="06B91D67" w:rsidR="00A83B90" w:rsidRPr="00997816" w:rsidRDefault="00A83B90" w:rsidP="00280B36">
      <w:pPr>
        <w:rPr>
          <w:b/>
          <w:bCs/>
          <w:sz w:val="20"/>
          <w:szCs w:val="20"/>
          <w:lang w:eastAsia="en-US"/>
        </w:rPr>
      </w:pPr>
      <w:r w:rsidRPr="00997816">
        <w:rPr>
          <w:b/>
          <w:bCs/>
          <w:sz w:val="20"/>
          <w:szCs w:val="20"/>
          <w:lang w:eastAsia="en-US"/>
        </w:rPr>
        <w:t>Выбор основных параметров измерительного преобразователя для регистрации ГИТ</w:t>
      </w:r>
    </w:p>
    <w:p w14:paraId="717FECE6" w14:textId="116900E3" w:rsidR="00A83B90" w:rsidRPr="00997816" w:rsidRDefault="00A83B90" w:rsidP="00280B36">
      <w:pPr>
        <w:ind w:firstLine="142"/>
        <w:jc w:val="both"/>
        <w:rPr>
          <w:sz w:val="20"/>
          <w:szCs w:val="20"/>
          <w:lang w:eastAsia="en-US"/>
        </w:rPr>
      </w:pPr>
      <w:r w:rsidRPr="00997816">
        <w:rPr>
          <w:sz w:val="20"/>
          <w:szCs w:val="20"/>
          <w:lang w:eastAsia="en-US"/>
        </w:rPr>
        <w:t xml:space="preserve">За рубежом серийно выпускаются специализированные средства для непосредственного измерения ГИТ. В качестве примера можно привести простой датчик типа </w:t>
      </w:r>
      <w:proofErr w:type="spellStart"/>
      <w:r w:rsidRPr="00997816">
        <w:rPr>
          <w:sz w:val="20"/>
          <w:szCs w:val="20"/>
          <w:lang w:eastAsia="en-US"/>
        </w:rPr>
        <w:t>GIC</w:t>
      </w:r>
      <w:proofErr w:type="spellEnd"/>
      <w:r w:rsidRPr="00997816">
        <w:rPr>
          <w:sz w:val="20"/>
          <w:szCs w:val="20"/>
          <w:lang w:eastAsia="en-US"/>
        </w:rPr>
        <w:t xml:space="preserve">-4 (Dynamic Ratings), позволяющий измерять ГИТ величиной до 360 А и выполненный в виде трансформатора тока с разъемным сердечником и элементом Холла. Более совершенным является устройство типа ECLIPSE </w:t>
      </w:r>
      <w:proofErr w:type="spellStart"/>
      <w:r w:rsidRPr="00997816">
        <w:rPr>
          <w:sz w:val="20"/>
          <w:szCs w:val="20"/>
          <w:lang w:eastAsia="en-US"/>
        </w:rPr>
        <w:t>HECT</w:t>
      </w:r>
      <w:proofErr w:type="spellEnd"/>
      <w:r w:rsidRPr="00997816">
        <w:rPr>
          <w:sz w:val="20"/>
          <w:szCs w:val="20"/>
          <w:lang w:eastAsia="en-US"/>
        </w:rPr>
        <w:t xml:space="preserve"> (Advanced Power Technologies), которое кроме измерения ГИТ определяет уровень гармоник в токе силового трансформатора, появляющихся из-за насыщения магнитной системы. Существуют системы непрерывной регистрации ГИТ, которые развернуты в Северной Америке </w:t>
      </w:r>
      <w:proofErr w:type="spellStart"/>
      <w:r w:rsidRPr="00997816">
        <w:rPr>
          <w:sz w:val="20"/>
          <w:szCs w:val="20"/>
          <w:lang w:eastAsia="en-US"/>
        </w:rPr>
        <w:t>Metatech</w:t>
      </w:r>
      <w:proofErr w:type="spellEnd"/>
      <w:r w:rsidRPr="00997816">
        <w:rPr>
          <w:sz w:val="20"/>
          <w:szCs w:val="20"/>
          <w:lang w:eastAsia="en-US"/>
        </w:rPr>
        <w:t xml:space="preserve"> Corporation и Minnesota Power [</w:t>
      </w:r>
      <w:r w:rsidR="00AF408F" w:rsidRPr="00997816">
        <w:rPr>
          <w:sz w:val="20"/>
          <w:szCs w:val="20"/>
          <w:lang w:eastAsia="en-US"/>
        </w:rPr>
        <w:t>1</w:t>
      </w:r>
      <w:r w:rsidRPr="00997816">
        <w:rPr>
          <w:sz w:val="20"/>
          <w:szCs w:val="20"/>
          <w:lang w:eastAsia="en-US"/>
        </w:rPr>
        <w:t>], а также единственная в России система регистрации воздействия магнитосферных возмущений на линии электропередачи 330 кВ «Северный транзит» на Кольском полуострове. Последняя действует с 2010 года под руководством Полярного Геофизического Института РАН (</w:t>
      </w:r>
      <w:proofErr w:type="spellStart"/>
      <w:r w:rsidRPr="00997816">
        <w:rPr>
          <w:sz w:val="20"/>
          <w:szCs w:val="20"/>
          <w:lang w:eastAsia="en-US"/>
        </w:rPr>
        <w:t>ПГИ</w:t>
      </w:r>
      <w:proofErr w:type="spellEnd"/>
      <w:r w:rsidRPr="00997816">
        <w:rPr>
          <w:sz w:val="20"/>
          <w:szCs w:val="20"/>
          <w:lang w:eastAsia="en-US"/>
        </w:rPr>
        <w:t xml:space="preserve"> РАН) совместно с Центром физико-технических проблем энергетики Севера [</w:t>
      </w:r>
      <w:r w:rsidR="00AF408F" w:rsidRPr="00997816">
        <w:rPr>
          <w:sz w:val="20"/>
          <w:szCs w:val="20"/>
          <w:lang w:eastAsia="en-US"/>
        </w:rPr>
        <w:t>2-4</w:t>
      </w:r>
      <w:r w:rsidRPr="00997816">
        <w:rPr>
          <w:sz w:val="20"/>
          <w:szCs w:val="20"/>
          <w:lang w:eastAsia="en-US"/>
        </w:rPr>
        <w:t>]. Измерения ГИТ в нейтралях силовых трансформаторов и автотрансформаторов проводились на ряде подстанций напряжением 330 кВ Кольской энергосистемы. В частности, в нейтрали автотрансформатора АТ-2 подстанции 330 кВ «Выходная» регистрировались ГИТ значительно превышающие 100 А.</w:t>
      </w:r>
    </w:p>
    <w:p w14:paraId="10917571" w14:textId="27BA87AD" w:rsidR="00A83B90" w:rsidRPr="00997816" w:rsidRDefault="00140290" w:rsidP="00280B36">
      <w:pPr>
        <w:ind w:firstLine="142"/>
        <w:jc w:val="both"/>
        <w:rPr>
          <w:sz w:val="20"/>
          <w:szCs w:val="20"/>
          <w:lang w:eastAsia="en-US"/>
        </w:rPr>
      </w:pPr>
      <w:r w:rsidRPr="00997816">
        <w:rPr>
          <w:sz w:val="20"/>
          <w:szCs w:val="20"/>
          <w:lang w:eastAsia="en-US"/>
        </w:rPr>
        <w:t>В зарубежной и отечественной практике для мониторинга ГИТ используются измерительные преобразователи с элементом Холла, которые устанавливаются в нейтрали силового трансформатора и позволяют измерять как переменные, так и постоянные токи [</w:t>
      </w:r>
      <w:r w:rsidR="00AF408F" w:rsidRPr="00997816">
        <w:rPr>
          <w:sz w:val="20"/>
          <w:szCs w:val="20"/>
          <w:lang w:eastAsia="en-US"/>
        </w:rPr>
        <w:t>1</w:t>
      </w:r>
      <w:r w:rsidRPr="00997816">
        <w:rPr>
          <w:sz w:val="20"/>
          <w:szCs w:val="20"/>
          <w:lang w:eastAsia="en-US"/>
        </w:rPr>
        <w:t>,</w:t>
      </w:r>
      <w:r w:rsidR="00AF408F" w:rsidRPr="00997816">
        <w:rPr>
          <w:sz w:val="20"/>
          <w:szCs w:val="20"/>
          <w:lang w:eastAsia="en-US"/>
        </w:rPr>
        <w:t>5</w:t>
      </w:r>
      <w:r w:rsidRPr="00997816">
        <w:rPr>
          <w:sz w:val="20"/>
          <w:szCs w:val="20"/>
          <w:lang w:eastAsia="en-US"/>
        </w:rPr>
        <w:t>]. Существуют две основные разновидности измерительных преобразователей тока c элементом Холла – прямого усиления и компенсационные [</w:t>
      </w:r>
      <w:r w:rsidR="00AF408F" w:rsidRPr="00997816">
        <w:rPr>
          <w:sz w:val="20"/>
          <w:szCs w:val="20"/>
          <w:lang w:eastAsia="en-US"/>
        </w:rPr>
        <w:t>6</w:t>
      </w:r>
      <w:r w:rsidRPr="00997816">
        <w:rPr>
          <w:sz w:val="20"/>
          <w:szCs w:val="20"/>
          <w:lang w:eastAsia="en-US"/>
        </w:rPr>
        <w:t>,</w:t>
      </w:r>
      <w:r w:rsidR="00AF408F" w:rsidRPr="00997816">
        <w:rPr>
          <w:sz w:val="20"/>
          <w:szCs w:val="20"/>
          <w:lang w:eastAsia="en-US"/>
        </w:rPr>
        <w:t>7</w:t>
      </w:r>
      <w:r w:rsidRPr="00997816">
        <w:rPr>
          <w:sz w:val="20"/>
          <w:szCs w:val="20"/>
          <w:lang w:eastAsia="en-US"/>
        </w:rPr>
        <w:t xml:space="preserve">]. В первом случае магнитное поле, создаваемое первичным током, концентрируется в магнитной цепи и преобразуется в воздушном зазоре элементом Холла в электрический сигнал, который усиливается для получения на выходе пропорциональной копии первичного тока. В измерительных преобразователях компенсационного типа магнитное поле первичного тока компенсируется магнитным полем вторичной обмотки. Вторичный (компенсационный) ток генерируется с помощью элемента Холла и электронной схемы и является пропорциональной копией первичного тока. Использование компенсационной обмотки обеспечивает более высокую линейность и точность преобразования, но существенно ограничивает перегрузочную способность измерительного преобразователя. Кратность перегрузки по первичному току измерительных преобразователей компенсационного типа не превышает, как правило, значений </w:t>
      </w:r>
      <w:r w:rsidR="00E27249" w:rsidRPr="00997816">
        <w:rPr>
          <w:sz w:val="20"/>
          <w:szCs w:val="20"/>
          <w:lang w:eastAsia="en-US"/>
        </w:rPr>
        <w:t>(</w:t>
      </w:r>
      <w:r w:rsidRPr="00997816">
        <w:rPr>
          <w:sz w:val="20"/>
          <w:szCs w:val="20"/>
          <w:lang w:eastAsia="en-US"/>
        </w:rPr>
        <w:t xml:space="preserve">1,5 </w:t>
      </w:r>
      <w:r w:rsidR="00E27249" w:rsidRPr="00997816">
        <w:rPr>
          <w:sz w:val="20"/>
          <w:szCs w:val="20"/>
          <w:lang w:eastAsia="en-US"/>
        </w:rPr>
        <w:t>-</w:t>
      </w:r>
      <w:r w:rsidRPr="00997816">
        <w:rPr>
          <w:sz w:val="20"/>
          <w:szCs w:val="20"/>
          <w:lang w:eastAsia="en-US"/>
        </w:rPr>
        <w:t xml:space="preserve"> 2,0</w:t>
      </w:r>
      <w:r w:rsidR="00E27249" w:rsidRPr="00997816">
        <w:rPr>
          <w:sz w:val="20"/>
          <w:szCs w:val="20"/>
          <w:lang w:eastAsia="en-US"/>
        </w:rPr>
        <w:t>)</w:t>
      </w:r>
      <w:r w:rsidRPr="00997816">
        <w:rPr>
          <w:sz w:val="20"/>
          <w:szCs w:val="20"/>
          <w:lang w:eastAsia="en-US"/>
        </w:rPr>
        <w:t>.</w:t>
      </w:r>
    </w:p>
    <w:p w14:paraId="5D982582" w14:textId="652D301B" w:rsidR="00C57717" w:rsidRPr="00997816" w:rsidRDefault="00C57717" w:rsidP="00280B36">
      <w:pPr>
        <w:ind w:firstLine="142"/>
        <w:jc w:val="both"/>
        <w:rPr>
          <w:sz w:val="20"/>
          <w:szCs w:val="20"/>
          <w:lang w:eastAsia="en-US"/>
        </w:rPr>
      </w:pPr>
      <w:r w:rsidRPr="00997816">
        <w:rPr>
          <w:sz w:val="20"/>
          <w:szCs w:val="20"/>
          <w:lang w:eastAsia="en-US"/>
        </w:rPr>
        <w:t xml:space="preserve">Допустимая перегрузка измерительных преобразователей прямого усиления из-за отсутствия вторичной обмотки вполне соизмерима с токами электродинамической и термической стойкости стандартных электромагнитных трансформаторов тока. Например, допустимая перегрузка измерительного преобразователя прямого усиления типа </w:t>
      </w:r>
      <w:proofErr w:type="spellStart"/>
      <w:r w:rsidRPr="00997816">
        <w:rPr>
          <w:sz w:val="20"/>
          <w:szCs w:val="20"/>
          <w:lang w:eastAsia="en-US"/>
        </w:rPr>
        <w:t>SZ9HA</w:t>
      </w:r>
      <w:proofErr w:type="spellEnd"/>
      <w:r w:rsidRPr="00997816">
        <w:rPr>
          <w:sz w:val="20"/>
          <w:szCs w:val="20"/>
          <w:lang w:eastAsia="en-US"/>
        </w:rPr>
        <w:t xml:space="preserve">-800…5000 составляет 30000 </w:t>
      </w:r>
      <w:proofErr w:type="spellStart"/>
      <w:r w:rsidRPr="00997816">
        <w:rPr>
          <w:sz w:val="20"/>
          <w:szCs w:val="20"/>
          <w:lang w:eastAsia="en-US"/>
        </w:rPr>
        <w:t>А</w:t>
      </w:r>
      <w:r w:rsidRPr="00997816">
        <w:rPr>
          <w:rFonts w:ascii="Cambria Math" w:hAnsi="Cambria Math" w:cs="Cambria Math"/>
          <w:sz w:val="20"/>
          <w:szCs w:val="20"/>
          <w:lang w:eastAsia="en-US"/>
        </w:rPr>
        <w:t>⋅</w:t>
      </w:r>
      <w:r w:rsidRPr="00997816">
        <w:rPr>
          <w:sz w:val="20"/>
          <w:szCs w:val="20"/>
          <w:lang w:eastAsia="en-US"/>
        </w:rPr>
        <w:t>вит</w:t>
      </w:r>
      <w:proofErr w:type="spellEnd"/>
      <w:r w:rsidRPr="00997816">
        <w:rPr>
          <w:sz w:val="20"/>
          <w:szCs w:val="20"/>
          <w:lang w:eastAsia="en-US"/>
        </w:rPr>
        <w:t xml:space="preserve"> [</w:t>
      </w:r>
      <w:r w:rsidR="00AF408F" w:rsidRPr="00997816">
        <w:rPr>
          <w:sz w:val="20"/>
          <w:szCs w:val="20"/>
          <w:lang w:eastAsia="en-US"/>
        </w:rPr>
        <w:t>7</w:t>
      </w:r>
      <w:r w:rsidRPr="00997816">
        <w:rPr>
          <w:sz w:val="20"/>
          <w:szCs w:val="20"/>
          <w:lang w:eastAsia="en-US"/>
        </w:rPr>
        <w:t>]. Если первичным витком является шина, соединяющая вывод нейтрали силового трансформатора с заземляющим устройством, то допустимая перегрузка измерительного преобразователя составит 30 кА.</w:t>
      </w:r>
    </w:p>
    <w:p w14:paraId="39891E8C" w14:textId="29CAA13B" w:rsidR="00140290" w:rsidRPr="00997816" w:rsidRDefault="00140290" w:rsidP="00280B36">
      <w:pPr>
        <w:ind w:firstLine="142"/>
        <w:jc w:val="both"/>
        <w:rPr>
          <w:sz w:val="20"/>
          <w:szCs w:val="20"/>
          <w:lang w:eastAsia="en-US"/>
        </w:rPr>
      </w:pPr>
      <w:r w:rsidRPr="00997816">
        <w:rPr>
          <w:sz w:val="20"/>
          <w:szCs w:val="20"/>
          <w:lang w:eastAsia="en-US"/>
        </w:rPr>
        <w:t xml:space="preserve">Выбор конкретного типа измерительного преобразователя прямого усиления может проводиться с учетом номинальных параметров силового трансформатора и параметров примыкающей электрической сети, которые определяют величину ГИТ, протекающих в нейтрали, а также таких показателей качества электроэнергии в узле включения силового трансформатора, как коэффициенты </w:t>
      </w:r>
      <w:proofErr w:type="spellStart"/>
      <w:r w:rsidRPr="00997816">
        <w:rPr>
          <w:sz w:val="20"/>
          <w:szCs w:val="20"/>
          <w:lang w:eastAsia="en-US"/>
        </w:rPr>
        <w:t>несимметрии</w:t>
      </w:r>
      <w:proofErr w:type="spellEnd"/>
      <w:r w:rsidRPr="00997816">
        <w:rPr>
          <w:sz w:val="20"/>
          <w:szCs w:val="20"/>
          <w:lang w:eastAsia="en-US"/>
        </w:rPr>
        <w:t xml:space="preserve"> и несинусоидальности фазных напряжений, которые определяют величину токов нулевой последовательности.</w:t>
      </w:r>
    </w:p>
    <w:p w14:paraId="61ADAEB1" w14:textId="77777777" w:rsidR="00C57717" w:rsidRPr="00997816" w:rsidRDefault="00C57717" w:rsidP="00280B36">
      <w:pPr>
        <w:ind w:firstLine="142"/>
        <w:jc w:val="both"/>
        <w:rPr>
          <w:rFonts w:eastAsia="Calibri"/>
          <w:sz w:val="20"/>
          <w:szCs w:val="20"/>
          <w:lang w:eastAsia="en-US"/>
        </w:rPr>
      </w:pPr>
      <w:r w:rsidRPr="00997816">
        <w:rPr>
          <w:rFonts w:eastAsia="Calibri"/>
          <w:sz w:val="20"/>
          <w:szCs w:val="20"/>
          <w:lang w:eastAsia="en-US"/>
        </w:rPr>
        <w:t>При появлении ГИТ, достаточных по величине для насыщения магнитной системы силового трансформатора, в условиях нарушения симметрии и синусоидальности фазных напряжений ток в нейтрали приобретет сложный гармонический характер</w:t>
      </w:r>
    </w:p>
    <w:p w14:paraId="5F13A307" w14:textId="46253824" w:rsidR="00C57717" w:rsidRPr="00997816" w:rsidRDefault="00000000" w:rsidP="00C57717">
      <w:pPr>
        <w:ind w:firstLine="708"/>
        <w:jc w:val="right"/>
        <w:rPr>
          <w:color w:val="000000"/>
          <w:kern w:val="2"/>
          <w:sz w:val="20"/>
          <w:szCs w:val="20"/>
        </w:rPr>
      </w:pPr>
      <m:oMath>
        <m:sSub>
          <m:sSubPr>
            <m:ctrlPr>
              <w:rPr>
                <w:rFonts w:ascii="Cambria Math" w:hAnsi="Cambria Math"/>
                <w:i/>
                <w:color w:val="000000"/>
                <w:kern w:val="2"/>
                <w:sz w:val="20"/>
                <w:szCs w:val="20"/>
              </w:rPr>
            </m:ctrlPr>
          </m:sSubPr>
          <m:e>
            <m:r>
              <w:rPr>
                <w:rFonts w:ascii="Cambria Math" w:hAnsi="Cambria Math"/>
                <w:color w:val="000000"/>
                <w:kern w:val="2"/>
                <w:sz w:val="20"/>
                <w:szCs w:val="20"/>
              </w:rPr>
              <m:t>I</m:t>
            </m:r>
          </m:e>
          <m:sub>
            <m:r>
              <w:rPr>
                <w:rFonts w:ascii="Cambria Math" w:hAnsi="Cambria Math"/>
                <w:color w:val="000000"/>
                <w:kern w:val="2"/>
                <w:sz w:val="20"/>
                <w:szCs w:val="20"/>
              </w:rPr>
              <m:t>N</m:t>
            </m:r>
          </m:sub>
        </m:sSub>
        <m:r>
          <w:rPr>
            <w:rFonts w:ascii="Cambria Math" w:hAnsi="Cambria Math"/>
            <w:color w:val="000000"/>
            <w:kern w:val="2"/>
            <w:sz w:val="20"/>
            <w:szCs w:val="20"/>
          </w:rPr>
          <m:t>=3∙(</m:t>
        </m:r>
        <m:sSub>
          <m:sSubPr>
            <m:ctrlPr>
              <w:rPr>
                <w:rFonts w:ascii="Cambria Math" w:hAnsi="Cambria Math"/>
                <w:i/>
                <w:color w:val="000000"/>
                <w:kern w:val="2"/>
                <w:sz w:val="20"/>
                <w:szCs w:val="20"/>
              </w:rPr>
            </m:ctrlPr>
          </m:sSubPr>
          <m:e>
            <m:r>
              <w:rPr>
                <w:rFonts w:ascii="Cambria Math" w:hAnsi="Cambria Math"/>
                <w:color w:val="000000"/>
                <w:kern w:val="2"/>
                <w:sz w:val="20"/>
                <w:szCs w:val="20"/>
              </w:rPr>
              <m:t>I</m:t>
            </m:r>
          </m:e>
          <m:sub>
            <m:r>
              <w:rPr>
                <w:rFonts w:ascii="Cambria Math" w:hAnsi="Cambria Math"/>
                <w:color w:val="000000"/>
                <w:kern w:val="2"/>
                <w:sz w:val="20"/>
                <w:szCs w:val="20"/>
              </w:rPr>
              <m:t>ГИТ</m:t>
            </m:r>
          </m:sub>
        </m:sSub>
        <m:r>
          <w:rPr>
            <w:rFonts w:ascii="Cambria Math" w:hAnsi="Cambria Math"/>
            <w:color w:val="000000"/>
            <w:kern w:val="2"/>
            <w:sz w:val="20"/>
            <w:szCs w:val="20"/>
          </w:rPr>
          <m:t>+</m:t>
        </m:r>
        <m:sSub>
          <m:sSubPr>
            <m:ctrlPr>
              <w:rPr>
                <w:rFonts w:ascii="Cambria Math" w:hAnsi="Cambria Math"/>
                <w:i/>
                <w:color w:val="000000"/>
                <w:kern w:val="2"/>
                <w:sz w:val="20"/>
                <w:szCs w:val="20"/>
              </w:rPr>
            </m:ctrlPr>
          </m:sSubPr>
          <m:e>
            <m:r>
              <w:rPr>
                <w:rFonts w:ascii="Cambria Math" w:hAnsi="Cambria Math"/>
                <w:color w:val="000000"/>
                <w:kern w:val="2"/>
                <w:sz w:val="20"/>
                <w:szCs w:val="20"/>
                <w:lang w:val="en-US"/>
              </w:rPr>
              <m:t>I</m:t>
            </m:r>
          </m:e>
          <m:sub>
            <m:r>
              <w:rPr>
                <w:rFonts w:ascii="Cambria Math" w:hAnsi="Cambria Math"/>
                <w:color w:val="000000"/>
                <w:kern w:val="2"/>
                <w:sz w:val="20"/>
                <w:szCs w:val="20"/>
              </w:rPr>
              <m:t>(0)</m:t>
            </m:r>
          </m:sub>
        </m:sSub>
        <m:r>
          <w:rPr>
            <w:rFonts w:ascii="Cambria Math" w:hAnsi="Cambria Math"/>
            <w:color w:val="000000"/>
            <w:kern w:val="2"/>
            <w:sz w:val="20"/>
            <w:szCs w:val="20"/>
          </w:rPr>
          <m:t>+</m:t>
        </m:r>
        <m:nary>
          <m:naryPr>
            <m:chr m:val="∑"/>
            <m:limLoc m:val="undOvr"/>
            <m:ctrlPr>
              <w:rPr>
                <w:rFonts w:ascii="Cambria Math" w:hAnsi="Cambria Math"/>
                <w:i/>
                <w:color w:val="000000"/>
                <w:kern w:val="2"/>
                <w:sz w:val="20"/>
                <w:szCs w:val="20"/>
              </w:rPr>
            </m:ctrlPr>
          </m:naryPr>
          <m:sub>
            <m:r>
              <w:rPr>
                <w:rFonts w:ascii="Cambria Math" w:hAnsi="Cambria Math"/>
                <w:color w:val="000000"/>
                <w:kern w:val="2"/>
                <w:sz w:val="20"/>
                <w:szCs w:val="20"/>
              </w:rPr>
              <m:t>3k</m:t>
            </m:r>
          </m:sub>
          <m:sup>
            <m:r>
              <w:rPr>
                <w:rFonts w:ascii="Cambria Math" w:hAnsi="Cambria Math"/>
                <w:color w:val="000000"/>
                <w:kern w:val="2"/>
                <w:sz w:val="20"/>
                <w:szCs w:val="20"/>
              </w:rPr>
              <m:t>∞</m:t>
            </m:r>
          </m:sup>
          <m:e>
            <m:sSub>
              <m:sSubPr>
                <m:ctrlPr>
                  <w:rPr>
                    <w:rFonts w:ascii="Cambria Math" w:hAnsi="Cambria Math"/>
                    <w:i/>
                    <w:color w:val="000000"/>
                    <w:kern w:val="2"/>
                    <w:sz w:val="20"/>
                    <w:szCs w:val="20"/>
                  </w:rPr>
                </m:ctrlPr>
              </m:sSubPr>
              <m:e>
                <m:r>
                  <w:rPr>
                    <w:rFonts w:ascii="Cambria Math" w:hAnsi="Cambria Math"/>
                    <w:color w:val="000000"/>
                    <w:kern w:val="2"/>
                    <w:sz w:val="20"/>
                    <w:szCs w:val="20"/>
                    <w:lang w:val="en-US"/>
                  </w:rPr>
                  <m:t>I</m:t>
                </m:r>
              </m:e>
              <m:sub>
                <m:r>
                  <w:rPr>
                    <w:rFonts w:ascii="Cambria Math" w:hAnsi="Cambria Math"/>
                    <w:color w:val="000000"/>
                    <w:kern w:val="2"/>
                    <w:sz w:val="20"/>
                    <w:szCs w:val="20"/>
                  </w:rPr>
                  <m:t>3</m:t>
                </m:r>
                <m:r>
                  <w:rPr>
                    <w:rFonts w:ascii="Cambria Math" w:hAnsi="Cambria Math"/>
                    <w:color w:val="000000"/>
                    <w:kern w:val="2"/>
                    <w:sz w:val="20"/>
                    <w:szCs w:val="20"/>
                    <w:lang w:val="en-US"/>
                  </w:rPr>
                  <m:t>k</m:t>
                </m:r>
              </m:sub>
            </m:sSub>
          </m:e>
        </m:nary>
        <m:r>
          <w:rPr>
            <w:rFonts w:ascii="Cambria Math" w:hAnsi="Cambria Math"/>
            <w:color w:val="000000"/>
            <w:kern w:val="2"/>
            <w:sz w:val="20"/>
            <w:szCs w:val="20"/>
          </w:rPr>
          <m:t>)</m:t>
        </m:r>
      </m:oMath>
      <w:r w:rsidR="00C57717" w:rsidRPr="00997816">
        <w:rPr>
          <w:color w:val="000000"/>
          <w:kern w:val="2"/>
          <w:sz w:val="20"/>
          <w:szCs w:val="20"/>
        </w:rPr>
        <w:t>,</w:t>
      </w:r>
      <w:r w:rsidR="00280B36" w:rsidRPr="00997816">
        <w:rPr>
          <w:color w:val="000000"/>
          <w:kern w:val="2"/>
          <w:sz w:val="20"/>
          <w:szCs w:val="20"/>
        </w:rPr>
        <w:tab/>
      </w:r>
      <w:r w:rsidR="00C57717" w:rsidRPr="00997816">
        <w:rPr>
          <w:color w:val="000000"/>
          <w:kern w:val="2"/>
          <w:sz w:val="20"/>
          <w:szCs w:val="20"/>
        </w:rPr>
        <w:tab/>
      </w:r>
      <w:r w:rsidR="00C57717" w:rsidRPr="00997816">
        <w:rPr>
          <w:color w:val="000000"/>
          <w:kern w:val="2"/>
          <w:sz w:val="20"/>
          <w:szCs w:val="20"/>
        </w:rPr>
        <w:tab/>
      </w:r>
      <w:r w:rsidR="00C57717" w:rsidRPr="00997816">
        <w:rPr>
          <w:color w:val="000000"/>
          <w:kern w:val="2"/>
          <w:sz w:val="20"/>
          <w:szCs w:val="20"/>
        </w:rPr>
        <w:tab/>
      </w:r>
      <w:r w:rsidR="00C57717" w:rsidRPr="00997816">
        <w:rPr>
          <w:color w:val="000000"/>
          <w:kern w:val="2"/>
          <w:sz w:val="20"/>
          <w:szCs w:val="20"/>
        </w:rPr>
        <w:tab/>
        <w:t>(1)</w:t>
      </w:r>
    </w:p>
    <w:p w14:paraId="0F621E82" w14:textId="77777777" w:rsidR="00C57717" w:rsidRPr="00997816" w:rsidRDefault="00C57717" w:rsidP="00280B36">
      <w:pPr>
        <w:ind w:firstLine="142"/>
        <w:jc w:val="both"/>
        <w:rPr>
          <w:sz w:val="20"/>
          <w:szCs w:val="20"/>
        </w:rPr>
      </w:pPr>
      <w:r w:rsidRPr="00997816">
        <w:rPr>
          <w:color w:val="000000"/>
          <w:kern w:val="2"/>
          <w:sz w:val="20"/>
          <w:szCs w:val="20"/>
        </w:rPr>
        <w:t xml:space="preserve">где </w:t>
      </w:r>
      <m:oMath>
        <m:sSub>
          <m:sSubPr>
            <m:ctrlPr>
              <w:rPr>
                <w:rFonts w:ascii="Cambria Math" w:hAnsi="Cambria Math"/>
                <w:i/>
                <w:color w:val="000000"/>
                <w:kern w:val="2"/>
                <w:sz w:val="20"/>
                <w:szCs w:val="20"/>
              </w:rPr>
            </m:ctrlPr>
          </m:sSubPr>
          <m:e>
            <m:r>
              <w:rPr>
                <w:rFonts w:ascii="Cambria Math" w:hAnsi="Cambria Math"/>
                <w:color w:val="000000"/>
                <w:kern w:val="2"/>
                <w:sz w:val="20"/>
                <w:szCs w:val="20"/>
                <w:lang w:val="en-US"/>
              </w:rPr>
              <m:t>I</m:t>
            </m:r>
          </m:e>
          <m:sub>
            <m:r>
              <w:rPr>
                <w:rFonts w:ascii="Cambria Math" w:hAnsi="Cambria Math"/>
                <w:color w:val="000000"/>
                <w:kern w:val="2"/>
                <w:sz w:val="20"/>
                <w:szCs w:val="20"/>
              </w:rPr>
              <m:t>ГИТ</m:t>
            </m:r>
          </m:sub>
        </m:sSub>
      </m:oMath>
      <w:r w:rsidRPr="00997816">
        <w:rPr>
          <w:color w:val="000000"/>
          <w:kern w:val="2"/>
          <w:sz w:val="20"/>
          <w:szCs w:val="20"/>
        </w:rPr>
        <w:t xml:space="preserve"> – геоиндуцированный ток, обусловленный геомагнитными возмущениями; </w:t>
      </w:r>
      <m:oMath>
        <m:sSub>
          <m:sSubPr>
            <m:ctrlPr>
              <w:rPr>
                <w:rFonts w:ascii="Cambria Math" w:hAnsi="Cambria Math"/>
                <w:i/>
                <w:color w:val="000000"/>
                <w:kern w:val="2"/>
                <w:sz w:val="20"/>
                <w:szCs w:val="20"/>
              </w:rPr>
            </m:ctrlPr>
          </m:sSubPr>
          <m:e>
            <m:r>
              <w:rPr>
                <w:rFonts w:ascii="Cambria Math" w:hAnsi="Cambria Math"/>
                <w:color w:val="000000"/>
                <w:kern w:val="2"/>
                <w:sz w:val="20"/>
                <w:szCs w:val="20"/>
                <w:lang w:val="en-US"/>
              </w:rPr>
              <m:t>I</m:t>
            </m:r>
          </m:e>
          <m:sub>
            <m:r>
              <w:rPr>
                <w:rFonts w:ascii="Cambria Math" w:hAnsi="Cambria Math"/>
                <w:color w:val="000000"/>
                <w:kern w:val="2"/>
                <w:sz w:val="20"/>
                <w:szCs w:val="20"/>
              </w:rPr>
              <m:t>(0)</m:t>
            </m:r>
          </m:sub>
        </m:sSub>
      </m:oMath>
      <w:r w:rsidRPr="00997816">
        <w:rPr>
          <w:color w:val="000000"/>
          <w:kern w:val="2"/>
          <w:sz w:val="20"/>
          <w:szCs w:val="20"/>
        </w:rPr>
        <w:t xml:space="preserve"> – ток нулевой последовательности основной частоты 50 Гц, обусловленный нарушением симметрии фазных напряжений; </w:t>
      </w:r>
      <m:oMath>
        <m:sSub>
          <m:sSubPr>
            <m:ctrlPr>
              <w:rPr>
                <w:rFonts w:ascii="Cambria Math" w:hAnsi="Cambria Math"/>
                <w:i/>
                <w:color w:val="000000"/>
                <w:kern w:val="2"/>
                <w:sz w:val="20"/>
                <w:szCs w:val="20"/>
              </w:rPr>
            </m:ctrlPr>
          </m:sSubPr>
          <m:e>
            <m:r>
              <w:rPr>
                <w:rFonts w:ascii="Cambria Math" w:hAnsi="Cambria Math"/>
                <w:color w:val="000000"/>
                <w:kern w:val="2"/>
                <w:sz w:val="20"/>
                <w:szCs w:val="20"/>
                <w:lang w:val="en-US"/>
              </w:rPr>
              <m:t>I</m:t>
            </m:r>
          </m:e>
          <m:sub>
            <m:r>
              <w:rPr>
                <w:rFonts w:ascii="Cambria Math" w:hAnsi="Cambria Math"/>
                <w:color w:val="000000"/>
                <w:kern w:val="2"/>
                <w:sz w:val="20"/>
                <w:szCs w:val="20"/>
              </w:rPr>
              <m:t>3k</m:t>
            </m:r>
          </m:sub>
        </m:sSub>
      </m:oMath>
      <w:r w:rsidRPr="00997816">
        <w:rPr>
          <w:color w:val="000000"/>
          <w:kern w:val="2"/>
          <w:sz w:val="20"/>
          <w:szCs w:val="20"/>
        </w:rPr>
        <w:t xml:space="preserve"> – ток гармоник нулевой последовательности (</w:t>
      </w:r>
      <w:r w:rsidRPr="00997816">
        <w:rPr>
          <w:i/>
          <w:iCs/>
          <w:color w:val="000000"/>
          <w:kern w:val="2"/>
          <w:sz w:val="20"/>
          <w:szCs w:val="20"/>
          <w:lang w:val="en-US"/>
        </w:rPr>
        <w:t>k</w:t>
      </w:r>
      <w:r w:rsidRPr="00997816">
        <w:rPr>
          <w:color w:val="000000"/>
          <w:kern w:val="2"/>
          <w:sz w:val="20"/>
          <w:szCs w:val="20"/>
        </w:rPr>
        <w:t>=1,2,3…), обусловленных при отсутствии геомагнитных возмущений нарушением синусоидальности фазных напряжений, а в периоды геомагнитных возмущений – как нарушением синусоидальности фазных напряжений, так и насыщением магнитной системы силового трансформатора.</w:t>
      </w:r>
    </w:p>
    <w:p w14:paraId="0A1E2C5B" w14:textId="4C486572" w:rsidR="00820CAE" w:rsidRPr="00997816" w:rsidRDefault="00820CAE" w:rsidP="00820CAE">
      <w:pPr>
        <w:ind w:firstLine="142"/>
        <w:jc w:val="both"/>
        <w:rPr>
          <w:sz w:val="20"/>
          <w:szCs w:val="20"/>
        </w:rPr>
      </w:pPr>
      <w:r w:rsidRPr="00997816">
        <w:rPr>
          <w:sz w:val="20"/>
          <w:szCs w:val="20"/>
        </w:rPr>
        <w:t>Величина ГИТ определяется интенсивностью геомагнитных возмущений, которые инициируют появление горизонтальной компоненты геоэлектрического поля, и величиной суммарного активного сопротивления контура протекания [8]. Количественные оценки ГИТ будут предельными для силовых трансформаторов как узловой, так и тупиковой подстанций радиальной сети, если трасса только одной</w:t>
      </w:r>
      <w:r w:rsidR="007C31F4" w:rsidRPr="00997816">
        <w:rPr>
          <w:sz w:val="20"/>
          <w:szCs w:val="20"/>
        </w:rPr>
        <w:t xml:space="preserve"> воздушной линии</w:t>
      </w:r>
      <w:r w:rsidRPr="00997816">
        <w:rPr>
          <w:sz w:val="20"/>
          <w:szCs w:val="20"/>
        </w:rPr>
        <w:t xml:space="preserve"> </w:t>
      </w:r>
      <w:r w:rsidR="007C31F4" w:rsidRPr="00997816">
        <w:rPr>
          <w:sz w:val="20"/>
          <w:szCs w:val="20"/>
        </w:rPr>
        <w:t>(</w:t>
      </w:r>
      <w:r w:rsidRPr="00997816">
        <w:rPr>
          <w:sz w:val="20"/>
          <w:szCs w:val="20"/>
        </w:rPr>
        <w:t>ВЛ</w:t>
      </w:r>
      <w:r w:rsidR="007C31F4" w:rsidRPr="00997816">
        <w:rPr>
          <w:sz w:val="20"/>
          <w:szCs w:val="20"/>
        </w:rPr>
        <w:t>)</w:t>
      </w:r>
      <w:r w:rsidRPr="00997816">
        <w:rPr>
          <w:sz w:val="20"/>
          <w:szCs w:val="20"/>
        </w:rPr>
        <w:t xml:space="preserve"> совпадает с направлением вектора напряженности </w:t>
      </w:r>
      <w:r w:rsidR="007C31F4" w:rsidRPr="00997816">
        <w:rPr>
          <w:b/>
          <w:sz w:val="20"/>
          <w:szCs w:val="20"/>
        </w:rPr>
        <w:t>Е</w:t>
      </w:r>
      <w:r w:rsidR="007C31F4" w:rsidRPr="00997816">
        <w:rPr>
          <w:sz w:val="20"/>
          <w:szCs w:val="20"/>
        </w:rPr>
        <w:t xml:space="preserve"> </w:t>
      </w:r>
      <w:r w:rsidRPr="00997816">
        <w:rPr>
          <w:sz w:val="20"/>
          <w:szCs w:val="20"/>
        </w:rPr>
        <w:t xml:space="preserve">геоэлектрического поля, а трассы остальных ВЛ перпендикулярны вектору </w:t>
      </w:r>
      <w:r w:rsidR="007C31F4" w:rsidRPr="00997816">
        <w:rPr>
          <w:sz w:val="20"/>
          <w:szCs w:val="20"/>
        </w:rPr>
        <w:t xml:space="preserve">напряженности </w:t>
      </w:r>
      <w:r w:rsidR="007C31F4" w:rsidRPr="00997816">
        <w:rPr>
          <w:b/>
          <w:sz w:val="20"/>
          <w:szCs w:val="20"/>
        </w:rPr>
        <w:t>Е</w:t>
      </w:r>
      <w:r w:rsidR="007C31F4" w:rsidRPr="00997816">
        <w:rPr>
          <w:sz w:val="20"/>
          <w:szCs w:val="20"/>
        </w:rPr>
        <w:t xml:space="preserve"> геоэлектрического поля</w:t>
      </w:r>
      <w:r w:rsidRPr="00997816">
        <w:rPr>
          <w:sz w:val="20"/>
          <w:szCs w:val="20"/>
        </w:rPr>
        <w:t>. Для этого случая в таблице 1 представлены расчетные значения ГИТ (</w:t>
      </w:r>
      <m:oMath>
        <m:sSub>
          <m:sSubPr>
            <m:ctrlPr>
              <w:rPr>
                <w:rFonts w:ascii="Cambria Math" w:hAnsi="Cambria Math"/>
                <w:i/>
                <w:color w:val="000000"/>
                <w:kern w:val="2"/>
                <w:sz w:val="20"/>
                <w:szCs w:val="20"/>
              </w:rPr>
            </m:ctrlPr>
          </m:sSubPr>
          <m:e>
            <m:r>
              <w:rPr>
                <w:rFonts w:ascii="Cambria Math" w:hAnsi="Cambria Math"/>
                <w:color w:val="000000"/>
                <w:kern w:val="2"/>
                <w:sz w:val="20"/>
                <w:szCs w:val="20"/>
                <w:lang w:val="en-US"/>
              </w:rPr>
              <m:t>I</m:t>
            </m:r>
          </m:e>
          <m:sub>
            <m:r>
              <w:rPr>
                <w:rFonts w:ascii="Cambria Math" w:hAnsi="Cambria Math"/>
                <w:color w:val="000000"/>
                <w:kern w:val="2"/>
                <w:sz w:val="20"/>
                <w:szCs w:val="20"/>
              </w:rPr>
              <m:t>ГИТ(⊥)</m:t>
            </m:r>
          </m:sub>
        </m:sSub>
      </m:oMath>
      <w:r w:rsidRPr="00997816">
        <w:rPr>
          <w:color w:val="000000"/>
          <w:kern w:val="2"/>
          <w:sz w:val="20"/>
          <w:szCs w:val="20"/>
        </w:rPr>
        <w:t>)</w:t>
      </w:r>
      <w:r w:rsidRPr="00997816">
        <w:rPr>
          <w:sz w:val="20"/>
          <w:szCs w:val="20"/>
        </w:rPr>
        <w:t xml:space="preserve"> в нейтрали силовых трансформаторов номинальной мощностью 200</w:t>
      </w:r>
      <w:r w:rsidR="007C31F4" w:rsidRPr="00997816">
        <w:rPr>
          <w:sz w:val="20"/>
          <w:szCs w:val="20"/>
        </w:rPr>
        <w:t xml:space="preserve"> </w:t>
      </w:r>
      <w:r w:rsidRPr="00997816">
        <w:rPr>
          <w:sz w:val="20"/>
          <w:szCs w:val="20"/>
        </w:rPr>
        <w:t>МВА (узловая подстанция) и 40</w:t>
      </w:r>
      <w:r w:rsidR="007C31F4" w:rsidRPr="00997816">
        <w:rPr>
          <w:sz w:val="20"/>
          <w:szCs w:val="20"/>
        </w:rPr>
        <w:t xml:space="preserve"> </w:t>
      </w:r>
      <w:r w:rsidRPr="00997816">
        <w:rPr>
          <w:sz w:val="20"/>
          <w:szCs w:val="20"/>
        </w:rPr>
        <w:t>МВА (тупиковая подстанция), связанных воздушной линией номинальным напряжением 220 кВ протяженностью (</w:t>
      </w:r>
      <m:oMath>
        <m:r>
          <w:rPr>
            <w:rFonts w:ascii="Cambria Math" w:hAnsi="Cambria Math"/>
            <w:sz w:val="20"/>
            <w:szCs w:val="20"/>
          </w:rPr>
          <m:t>l</m:t>
        </m:r>
      </m:oMath>
      <w:r w:rsidRPr="00997816">
        <w:rPr>
          <w:sz w:val="20"/>
          <w:szCs w:val="20"/>
        </w:rPr>
        <w:t>) от 50 км до 400 км.</w:t>
      </w:r>
    </w:p>
    <w:p w14:paraId="1A347FA4" w14:textId="77777777" w:rsidR="007C31F4" w:rsidRPr="00997816" w:rsidRDefault="007C31F4" w:rsidP="00820CAE">
      <w:pPr>
        <w:ind w:firstLine="142"/>
        <w:jc w:val="both"/>
        <w:rPr>
          <w:sz w:val="20"/>
          <w:szCs w:val="20"/>
        </w:rPr>
      </w:pPr>
    </w:p>
    <w:p w14:paraId="369ED212" w14:textId="6F9E94AA" w:rsidR="00B079E9" w:rsidRPr="00997816" w:rsidRDefault="00B079E9" w:rsidP="00280B36">
      <w:pPr>
        <w:ind w:firstLine="142"/>
        <w:jc w:val="both"/>
        <w:rPr>
          <w:sz w:val="20"/>
          <w:szCs w:val="20"/>
        </w:rPr>
      </w:pPr>
      <w:r w:rsidRPr="00997816">
        <w:rPr>
          <w:b/>
          <w:bCs/>
          <w:sz w:val="20"/>
          <w:szCs w:val="20"/>
        </w:rPr>
        <w:t>Таблица 1</w:t>
      </w:r>
      <w:r w:rsidR="00280B36" w:rsidRPr="00997816">
        <w:rPr>
          <w:sz w:val="20"/>
          <w:szCs w:val="20"/>
        </w:rPr>
        <w:t>.</w:t>
      </w:r>
      <w:r w:rsidRPr="00997816">
        <w:rPr>
          <w:sz w:val="20"/>
          <w:szCs w:val="20"/>
        </w:rPr>
        <w:t xml:space="preserve"> Количественные оценки ГИТ в нейтралях силовых трансформаторов, связанных ВЛ 220 кВ различной протяженности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417"/>
        <w:gridCol w:w="1418"/>
        <w:gridCol w:w="1276"/>
        <w:gridCol w:w="1572"/>
        <w:gridCol w:w="1114"/>
      </w:tblGrid>
      <w:tr w:rsidR="00B079E9" w:rsidRPr="00997816" w14:paraId="4552DF02" w14:textId="77777777" w:rsidTr="00BB5E70">
        <w:trPr>
          <w:jc w:val="center"/>
        </w:trPr>
        <w:tc>
          <w:tcPr>
            <w:tcW w:w="1271" w:type="dxa"/>
            <w:vMerge w:val="restart"/>
            <w:shd w:val="clear" w:color="auto" w:fill="auto"/>
            <w:vAlign w:val="center"/>
          </w:tcPr>
          <w:p w14:paraId="05EDC287" w14:textId="72E2B206" w:rsidR="00B079E9" w:rsidRPr="00997816" w:rsidRDefault="00B079E9" w:rsidP="00B079E9">
            <w:pPr>
              <w:widowControl w:val="0"/>
              <w:autoSpaceDE w:val="0"/>
              <w:autoSpaceDN w:val="0"/>
              <w:adjustRightInd w:val="0"/>
              <w:jc w:val="center"/>
              <w:rPr>
                <w:i/>
                <w:color w:val="000000"/>
                <w:kern w:val="2"/>
                <w:sz w:val="20"/>
                <w:szCs w:val="20"/>
              </w:rPr>
            </w:pPr>
            <m:oMath>
              <m:r>
                <w:rPr>
                  <w:rFonts w:ascii="Cambria Math" w:hAnsi="Cambria Math"/>
                  <w:color w:val="000000"/>
                  <w:kern w:val="2"/>
                  <w:sz w:val="20"/>
                  <w:szCs w:val="20"/>
                  <w:lang w:val="en-US"/>
                </w:rPr>
                <m:t>l</m:t>
              </m:r>
            </m:oMath>
            <w:r w:rsidRPr="00997816">
              <w:rPr>
                <w:color w:val="000000"/>
                <w:kern w:val="2"/>
                <w:sz w:val="20"/>
                <w:szCs w:val="20"/>
              </w:rPr>
              <w:t>,</w:t>
            </w:r>
            <w:r w:rsidR="00442522" w:rsidRPr="00997816">
              <w:rPr>
                <w:color w:val="000000"/>
                <w:kern w:val="2"/>
                <w:sz w:val="20"/>
                <w:szCs w:val="20"/>
              </w:rPr>
              <w:t xml:space="preserve"> </w:t>
            </w:r>
            <w:r w:rsidRPr="00997816">
              <w:rPr>
                <w:color w:val="000000"/>
                <w:kern w:val="2"/>
                <w:sz w:val="20"/>
                <w:szCs w:val="20"/>
              </w:rPr>
              <w:t>км</w:t>
            </w:r>
          </w:p>
        </w:tc>
        <w:tc>
          <w:tcPr>
            <w:tcW w:w="8073" w:type="dxa"/>
            <w:gridSpan w:val="6"/>
          </w:tcPr>
          <w:p w14:paraId="0D4C5B2F" w14:textId="241DE4A0" w:rsidR="00B079E9" w:rsidRPr="00997816" w:rsidRDefault="00000000" w:rsidP="00B079E9">
            <w:pPr>
              <w:widowControl w:val="0"/>
              <w:autoSpaceDE w:val="0"/>
              <w:autoSpaceDN w:val="0"/>
              <w:adjustRightInd w:val="0"/>
              <w:jc w:val="center"/>
              <w:rPr>
                <w:color w:val="000000"/>
                <w:kern w:val="2"/>
                <w:sz w:val="20"/>
                <w:szCs w:val="20"/>
              </w:rPr>
            </w:pPr>
            <m:oMath>
              <m:sSub>
                <m:sSubPr>
                  <m:ctrlPr>
                    <w:rPr>
                      <w:rFonts w:ascii="Cambria Math" w:hAnsi="Cambria Math"/>
                      <w:i/>
                      <w:color w:val="000000"/>
                      <w:kern w:val="2"/>
                      <w:sz w:val="20"/>
                      <w:szCs w:val="20"/>
                    </w:rPr>
                  </m:ctrlPr>
                </m:sSubPr>
                <m:e>
                  <m:r>
                    <w:rPr>
                      <w:rFonts w:ascii="Cambria Math" w:hAnsi="Cambria Math"/>
                      <w:color w:val="000000"/>
                      <w:kern w:val="2"/>
                      <w:sz w:val="20"/>
                      <w:szCs w:val="20"/>
                      <w:lang w:val="en-US"/>
                    </w:rPr>
                    <m:t>I</m:t>
                  </m:r>
                </m:e>
                <m:sub>
                  <m:r>
                    <w:rPr>
                      <w:rFonts w:ascii="Cambria Math" w:hAnsi="Cambria Math"/>
                      <w:color w:val="000000"/>
                      <w:kern w:val="2"/>
                      <w:sz w:val="20"/>
                      <w:szCs w:val="20"/>
                    </w:rPr>
                    <m:t>ГИТ</m:t>
                  </m:r>
                </m:sub>
              </m:sSub>
            </m:oMath>
            <w:r w:rsidR="00B079E9" w:rsidRPr="00997816">
              <w:rPr>
                <w:color w:val="000000"/>
                <w:kern w:val="2"/>
                <w:sz w:val="20"/>
                <w:szCs w:val="20"/>
              </w:rPr>
              <w:t>,</w:t>
            </w:r>
            <w:r w:rsidR="00442522" w:rsidRPr="00997816">
              <w:rPr>
                <w:color w:val="000000"/>
                <w:kern w:val="2"/>
                <w:sz w:val="20"/>
                <w:szCs w:val="20"/>
              </w:rPr>
              <w:t xml:space="preserve"> </w:t>
            </w:r>
            <w:proofErr w:type="gramStart"/>
            <w:r w:rsidR="00B079E9" w:rsidRPr="00997816">
              <w:rPr>
                <w:color w:val="000000"/>
                <w:kern w:val="2"/>
                <w:sz w:val="20"/>
                <w:szCs w:val="20"/>
              </w:rPr>
              <w:t>А</w:t>
            </w:r>
            <w:proofErr w:type="gramEnd"/>
          </w:p>
        </w:tc>
      </w:tr>
      <w:tr w:rsidR="00B079E9" w:rsidRPr="00997816" w14:paraId="1A1F28FF" w14:textId="77777777" w:rsidTr="00BB5E70">
        <w:trPr>
          <w:jc w:val="center"/>
        </w:trPr>
        <w:tc>
          <w:tcPr>
            <w:tcW w:w="1271" w:type="dxa"/>
            <w:vMerge/>
            <w:shd w:val="clear" w:color="auto" w:fill="auto"/>
            <w:vAlign w:val="center"/>
          </w:tcPr>
          <w:p w14:paraId="17422DC4" w14:textId="77777777" w:rsidR="00B079E9" w:rsidRPr="00997816" w:rsidRDefault="00B079E9" w:rsidP="00B079E9">
            <w:pPr>
              <w:widowControl w:val="0"/>
              <w:autoSpaceDE w:val="0"/>
              <w:autoSpaceDN w:val="0"/>
              <w:adjustRightInd w:val="0"/>
              <w:jc w:val="center"/>
              <w:rPr>
                <w:color w:val="000000"/>
                <w:kern w:val="2"/>
                <w:sz w:val="20"/>
                <w:szCs w:val="20"/>
              </w:rPr>
            </w:pPr>
          </w:p>
        </w:tc>
        <w:tc>
          <w:tcPr>
            <w:tcW w:w="1276" w:type="dxa"/>
            <w:shd w:val="clear" w:color="auto" w:fill="auto"/>
            <w:vAlign w:val="center"/>
          </w:tcPr>
          <w:p w14:paraId="60E26A1B" w14:textId="77777777" w:rsidR="00B079E9" w:rsidRPr="00997816" w:rsidRDefault="00B079E9" w:rsidP="00B079E9">
            <w:pPr>
              <w:widowControl w:val="0"/>
              <w:autoSpaceDE w:val="0"/>
              <w:autoSpaceDN w:val="0"/>
              <w:adjustRightInd w:val="0"/>
              <w:jc w:val="center"/>
              <w:rPr>
                <w:color w:val="000000"/>
                <w:kern w:val="2"/>
                <w:sz w:val="20"/>
                <w:szCs w:val="20"/>
              </w:rPr>
            </w:pPr>
            <w:r w:rsidRPr="00997816">
              <w:rPr>
                <w:color w:val="000000"/>
                <w:kern w:val="2"/>
                <w:sz w:val="20"/>
                <w:szCs w:val="20"/>
              </w:rPr>
              <w:t>1,0</w:t>
            </w:r>
          </w:p>
        </w:tc>
        <w:tc>
          <w:tcPr>
            <w:tcW w:w="1417" w:type="dxa"/>
          </w:tcPr>
          <w:p w14:paraId="690D6699" w14:textId="77777777" w:rsidR="00B079E9" w:rsidRPr="00997816" w:rsidRDefault="00B079E9" w:rsidP="00B079E9">
            <w:pPr>
              <w:widowControl w:val="0"/>
              <w:autoSpaceDE w:val="0"/>
              <w:autoSpaceDN w:val="0"/>
              <w:adjustRightInd w:val="0"/>
              <w:jc w:val="center"/>
              <w:rPr>
                <w:color w:val="000000"/>
                <w:kern w:val="2"/>
                <w:sz w:val="20"/>
                <w:szCs w:val="20"/>
              </w:rPr>
            </w:pPr>
            <w:r w:rsidRPr="00997816">
              <w:rPr>
                <w:color w:val="000000"/>
                <w:kern w:val="2"/>
                <w:sz w:val="20"/>
                <w:szCs w:val="20"/>
              </w:rPr>
              <w:t>5,0</w:t>
            </w:r>
          </w:p>
        </w:tc>
        <w:tc>
          <w:tcPr>
            <w:tcW w:w="1418" w:type="dxa"/>
          </w:tcPr>
          <w:p w14:paraId="4225DECA" w14:textId="77777777" w:rsidR="00B079E9" w:rsidRPr="00997816" w:rsidRDefault="00B079E9" w:rsidP="00B079E9">
            <w:pPr>
              <w:widowControl w:val="0"/>
              <w:autoSpaceDE w:val="0"/>
              <w:autoSpaceDN w:val="0"/>
              <w:adjustRightInd w:val="0"/>
              <w:jc w:val="center"/>
              <w:rPr>
                <w:color w:val="000000"/>
                <w:kern w:val="2"/>
                <w:sz w:val="20"/>
                <w:szCs w:val="20"/>
              </w:rPr>
            </w:pPr>
            <w:r w:rsidRPr="00997816">
              <w:rPr>
                <w:color w:val="000000"/>
                <w:kern w:val="2"/>
                <w:sz w:val="20"/>
                <w:szCs w:val="20"/>
              </w:rPr>
              <w:t>10</w:t>
            </w:r>
          </w:p>
        </w:tc>
        <w:tc>
          <w:tcPr>
            <w:tcW w:w="1276" w:type="dxa"/>
          </w:tcPr>
          <w:p w14:paraId="41E0B1BE" w14:textId="77777777" w:rsidR="00B079E9" w:rsidRPr="00997816" w:rsidRDefault="00B079E9" w:rsidP="00B079E9">
            <w:pPr>
              <w:widowControl w:val="0"/>
              <w:autoSpaceDE w:val="0"/>
              <w:autoSpaceDN w:val="0"/>
              <w:adjustRightInd w:val="0"/>
              <w:jc w:val="center"/>
              <w:rPr>
                <w:color w:val="000000"/>
                <w:kern w:val="2"/>
                <w:sz w:val="20"/>
                <w:szCs w:val="20"/>
              </w:rPr>
            </w:pPr>
            <w:r w:rsidRPr="00997816">
              <w:rPr>
                <w:color w:val="000000"/>
                <w:kern w:val="2"/>
                <w:sz w:val="20"/>
                <w:szCs w:val="20"/>
              </w:rPr>
              <w:t>15</w:t>
            </w:r>
          </w:p>
        </w:tc>
        <w:tc>
          <w:tcPr>
            <w:tcW w:w="1572" w:type="dxa"/>
            <w:shd w:val="clear" w:color="auto" w:fill="auto"/>
            <w:vAlign w:val="center"/>
          </w:tcPr>
          <w:p w14:paraId="640F8F00" w14:textId="77777777" w:rsidR="00B079E9" w:rsidRPr="00997816" w:rsidRDefault="00B079E9" w:rsidP="00B079E9">
            <w:pPr>
              <w:widowControl w:val="0"/>
              <w:autoSpaceDE w:val="0"/>
              <w:autoSpaceDN w:val="0"/>
              <w:adjustRightInd w:val="0"/>
              <w:jc w:val="center"/>
              <w:rPr>
                <w:color w:val="000000"/>
                <w:kern w:val="2"/>
                <w:sz w:val="20"/>
                <w:szCs w:val="20"/>
              </w:rPr>
            </w:pPr>
            <w:r w:rsidRPr="00997816">
              <w:rPr>
                <w:color w:val="000000"/>
                <w:kern w:val="2"/>
                <w:sz w:val="20"/>
                <w:szCs w:val="20"/>
              </w:rPr>
              <w:t>20</w:t>
            </w:r>
          </w:p>
        </w:tc>
        <w:tc>
          <w:tcPr>
            <w:tcW w:w="1114" w:type="dxa"/>
            <w:shd w:val="clear" w:color="auto" w:fill="auto"/>
            <w:vAlign w:val="center"/>
          </w:tcPr>
          <w:p w14:paraId="43EDF00E" w14:textId="77777777" w:rsidR="00B079E9" w:rsidRPr="00997816" w:rsidRDefault="00B079E9" w:rsidP="00B079E9">
            <w:pPr>
              <w:widowControl w:val="0"/>
              <w:autoSpaceDE w:val="0"/>
              <w:autoSpaceDN w:val="0"/>
              <w:adjustRightInd w:val="0"/>
              <w:jc w:val="center"/>
              <w:rPr>
                <w:color w:val="000000"/>
                <w:kern w:val="2"/>
                <w:sz w:val="20"/>
                <w:szCs w:val="20"/>
              </w:rPr>
            </w:pPr>
            <w:r w:rsidRPr="00997816">
              <w:rPr>
                <w:color w:val="000000"/>
                <w:kern w:val="2"/>
                <w:sz w:val="20"/>
                <w:szCs w:val="20"/>
              </w:rPr>
              <w:t>25</w:t>
            </w:r>
          </w:p>
        </w:tc>
      </w:tr>
      <w:tr w:rsidR="00B079E9" w:rsidRPr="00997816" w14:paraId="2DE1692D" w14:textId="77777777" w:rsidTr="00BB5E70">
        <w:trPr>
          <w:jc w:val="center"/>
        </w:trPr>
        <w:tc>
          <w:tcPr>
            <w:tcW w:w="1271" w:type="dxa"/>
            <w:shd w:val="clear" w:color="auto" w:fill="auto"/>
            <w:vAlign w:val="center"/>
          </w:tcPr>
          <w:p w14:paraId="3874854B" w14:textId="77777777" w:rsidR="00B079E9" w:rsidRPr="00997816" w:rsidRDefault="00B079E9" w:rsidP="00B079E9">
            <w:pPr>
              <w:widowControl w:val="0"/>
              <w:autoSpaceDE w:val="0"/>
              <w:autoSpaceDN w:val="0"/>
              <w:adjustRightInd w:val="0"/>
              <w:jc w:val="center"/>
              <w:rPr>
                <w:color w:val="000000"/>
                <w:kern w:val="2"/>
                <w:sz w:val="20"/>
                <w:szCs w:val="20"/>
              </w:rPr>
            </w:pPr>
            <w:r w:rsidRPr="00997816">
              <w:rPr>
                <w:color w:val="000000"/>
                <w:kern w:val="2"/>
                <w:sz w:val="20"/>
                <w:szCs w:val="20"/>
              </w:rPr>
              <w:t>50</w:t>
            </w:r>
          </w:p>
        </w:tc>
        <w:tc>
          <w:tcPr>
            <w:tcW w:w="1276" w:type="dxa"/>
            <w:shd w:val="clear" w:color="auto" w:fill="auto"/>
            <w:vAlign w:val="center"/>
          </w:tcPr>
          <w:p w14:paraId="692A7319"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11,82</m:t>
                    </m:r>
                  </m:num>
                  <m:den>
                    <m:r>
                      <w:rPr>
                        <w:rFonts w:ascii="Cambria Math" w:hAnsi="Cambria Math"/>
                        <w:color w:val="000000"/>
                        <w:kern w:val="2"/>
                        <w:sz w:val="20"/>
                        <w:szCs w:val="20"/>
                      </w:rPr>
                      <m:t>14,73</m:t>
                    </m:r>
                  </m:den>
                </m:f>
              </m:oMath>
            </m:oMathPara>
          </w:p>
        </w:tc>
        <w:tc>
          <w:tcPr>
            <w:tcW w:w="1417" w:type="dxa"/>
          </w:tcPr>
          <w:p w14:paraId="1C8E72A8"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59,1</m:t>
                    </m:r>
                  </m:num>
                  <m:den>
                    <m:r>
                      <w:rPr>
                        <w:rFonts w:ascii="Cambria Math" w:hAnsi="Cambria Math"/>
                        <w:color w:val="000000"/>
                        <w:kern w:val="2"/>
                        <w:sz w:val="20"/>
                        <w:szCs w:val="20"/>
                      </w:rPr>
                      <m:t>73,64</m:t>
                    </m:r>
                  </m:den>
                </m:f>
              </m:oMath>
            </m:oMathPara>
          </w:p>
        </w:tc>
        <w:tc>
          <w:tcPr>
            <w:tcW w:w="1418" w:type="dxa"/>
          </w:tcPr>
          <w:p w14:paraId="1FD15214"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118,2</m:t>
                    </m:r>
                  </m:num>
                  <m:den>
                    <m:r>
                      <w:rPr>
                        <w:rFonts w:ascii="Cambria Math" w:hAnsi="Cambria Math"/>
                        <w:color w:val="000000"/>
                        <w:kern w:val="2"/>
                        <w:sz w:val="20"/>
                        <w:szCs w:val="20"/>
                      </w:rPr>
                      <m:t>147,28</m:t>
                    </m:r>
                  </m:den>
                </m:f>
              </m:oMath>
            </m:oMathPara>
          </w:p>
        </w:tc>
        <w:tc>
          <w:tcPr>
            <w:tcW w:w="1276" w:type="dxa"/>
          </w:tcPr>
          <w:p w14:paraId="3C4681D6"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177,3</m:t>
                    </m:r>
                  </m:num>
                  <m:den>
                    <m:r>
                      <w:rPr>
                        <w:rFonts w:ascii="Cambria Math" w:hAnsi="Cambria Math"/>
                        <w:color w:val="000000"/>
                        <w:kern w:val="2"/>
                        <w:sz w:val="20"/>
                        <w:szCs w:val="20"/>
                      </w:rPr>
                      <m:t>220,91</m:t>
                    </m:r>
                  </m:den>
                </m:f>
              </m:oMath>
            </m:oMathPara>
          </w:p>
        </w:tc>
        <w:tc>
          <w:tcPr>
            <w:tcW w:w="1572" w:type="dxa"/>
            <w:shd w:val="clear" w:color="auto" w:fill="auto"/>
            <w:vAlign w:val="center"/>
          </w:tcPr>
          <w:p w14:paraId="77EFCDE6"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236,41</m:t>
                    </m:r>
                  </m:num>
                  <m:den>
                    <m:r>
                      <w:rPr>
                        <w:rFonts w:ascii="Cambria Math" w:hAnsi="Cambria Math"/>
                        <w:color w:val="000000"/>
                        <w:kern w:val="2"/>
                        <w:sz w:val="20"/>
                        <w:szCs w:val="20"/>
                      </w:rPr>
                      <m:t>294,55</m:t>
                    </m:r>
                  </m:den>
                </m:f>
              </m:oMath>
            </m:oMathPara>
          </w:p>
        </w:tc>
        <w:tc>
          <w:tcPr>
            <w:tcW w:w="1114" w:type="dxa"/>
            <w:shd w:val="clear" w:color="auto" w:fill="auto"/>
            <w:vAlign w:val="center"/>
          </w:tcPr>
          <w:p w14:paraId="45BAE49E"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295,51</m:t>
                    </m:r>
                  </m:num>
                  <m:den>
                    <m:r>
                      <w:rPr>
                        <w:rFonts w:ascii="Cambria Math" w:hAnsi="Cambria Math"/>
                        <w:color w:val="000000"/>
                        <w:kern w:val="2"/>
                        <w:sz w:val="20"/>
                        <w:szCs w:val="20"/>
                      </w:rPr>
                      <m:t>368,19</m:t>
                    </m:r>
                  </m:den>
                </m:f>
              </m:oMath>
            </m:oMathPara>
          </w:p>
        </w:tc>
      </w:tr>
      <w:tr w:rsidR="00B079E9" w:rsidRPr="00997816" w14:paraId="3C77740E" w14:textId="77777777" w:rsidTr="00BB5E70">
        <w:trPr>
          <w:jc w:val="center"/>
        </w:trPr>
        <w:tc>
          <w:tcPr>
            <w:tcW w:w="1271" w:type="dxa"/>
            <w:shd w:val="clear" w:color="auto" w:fill="auto"/>
            <w:vAlign w:val="center"/>
          </w:tcPr>
          <w:p w14:paraId="3B8CACC7" w14:textId="77777777" w:rsidR="00B079E9" w:rsidRPr="00997816" w:rsidRDefault="00B079E9" w:rsidP="00B079E9">
            <w:pPr>
              <w:widowControl w:val="0"/>
              <w:autoSpaceDE w:val="0"/>
              <w:autoSpaceDN w:val="0"/>
              <w:adjustRightInd w:val="0"/>
              <w:jc w:val="center"/>
              <w:rPr>
                <w:color w:val="000000"/>
                <w:kern w:val="2"/>
                <w:sz w:val="20"/>
                <w:szCs w:val="20"/>
              </w:rPr>
            </w:pPr>
            <w:r w:rsidRPr="00997816">
              <w:rPr>
                <w:color w:val="000000"/>
                <w:kern w:val="2"/>
                <w:sz w:val="20"/>
                <w:szCs w:val="20"/>
              </w:rPr>
              <w:t>100</w:t>
            </w:r>
          </w:p>
        </w:tc>
        <w:tc>
          <w:tcPr>
            <w:tcW w:w="1276" w:type="dxa"/>
            <w:shd w:val="clear" w:color="auto" w:fill="auto"/>
            <w:vAlign w:val="center"/>
          </w:tcPr>
          <w:p w14:paraId="1ECD286F"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15,64</m:t>
                    </m:r>
                  </m:num>
                  <m:den>
                    <m:r>
                      <w:rPr>
                        <w:rFonts w:ascii="Cambria Math" w:hAnsi="Cambria Math"/>
                        <w:color w:val="000000"/>
                        <w:kern w:val="2"/>
                        <w:sz w:val="20"/>
                        <w:szCs w:val="20"/>
                      </w:rPr>
                      <m:t>21,14</m:t>
                    </m:r>
                  </m:den>
                </m:f>
              </m:oMath>
            </m:oMathPara>
          </w:p>
        </w:tc>
        <w:tc>
          <w:tcPr>
            <w:tcW w:w="1417" w:type="dxa"/>
          </w:tcPr>
          <w:p w14:paraId="3F94F182"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78,19</m:t>
                    </m:r>
                  </m:num>
                  <m:den>
                    <m:r>
                      <w:rPr>
                        <w:rFonts w:ascii="Cambria Math" w:hAnsi="Cambria Math"/>
                        <w:color w:val="000000"/>
                        <w:kern w:val="2"/>
                        <w:sz w:val="20"/>
                        <w:szCs w:val="20"/>
                      </w:rPr>
                      <m:t>105,71</m:t>
                    </m:r>
                  </m:den>
                </m:f>
              </m:oMath>
            </m:oMathPara>
          </w:p>
        </w:tc>
        <w:tc>
          <w:tcPr>
            <w:tcW w:w="1418" w:type="dxa"/>
          </w:tcPr>
          <w:p w14:paraId="5001D122"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156,37</m:t>
                    </m:r>
                  </m:num>
                  <m:den>
                    <m:r>
                      <w:rPr>
                        <w:rFonts w:ascii="Cambria Math" w:hAnsi="Cambria Math"/>
                        <w:color w:val="000000"/>
                        <w:kern w:val="2"/>
                        <w:sz w:val="20"/>
                        <w:szCs w:val="20"/>
                      </w:rPr>
                      <m:t>211,42</m:t>
                    </m:r>
                  </m:den>
                </m:f>
              </m:oMath>
            </m:oMathPara>
          </w:p>
        </w:tc>
        <w:tc>
          <w:tcPr>
            <w:tcW w:w="1276" w:type="dxa"/>
          </w:tcPr>
          <w:p w14:paraId="70C0D513"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234,56</m:t>
                    </m:r>
                  </m:num>
                  <m:den>
                    <m:r>
                      <w:rPr>
                        <w:rFonts w:ascii="Cambria Math" w:hAnsi="Cambria Math"/>
                        <w:color w:val="000000"/>
                        <w:kern w:val="2"/>
                        <w:sz w:val="20"/>
                        <w:szCs w:val="20"/>
                      </w:rPr>
                      <m:t>317,12</m:t>
                    </m:r>
                  </m:den>
                </m:f>
              </m:oMath>
            </m:oMathPara>
          </w:p>
        </w:tc>
        <w:tc>
          <w:tcPr>
            <w:tcW w:w="1572" w:type="dxa"/>
            <w:shd w:val="clear" w:color="auto" w:fill="auto"/>
            <w:vAlign w:val="center"/>
          </w:tcPr>
          <w:p w14:paraId="30BB1DEF"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312,74</m:t>
                    </m:r>
                  </m:num>
                  <m:den>
                    <m:r>
                      <w:rPr>
                        <w:rFonts w:ascii="Cambria Math" w:hAnsi="Cambria Math"/>
                        <w:color w:val="000000"/>
                        <w:kern w:val="2"/>
                        <w:sz w:val="20"/>
                        <w:szCs w:val="20"/>
                      </w:rPr>
                      <m:t>422,83</m:t>
                    </m:r>
                  </m:den>
                </m:f>
              </m:oMath>
            </m:oMathPara>
          </w:p>
        </w:tc>
        <w:tc>
          <w:tcPr>
            <w:tcW w:w="1114" w:type="dxa"/>
            <w:shd w:val="clear" w:color="auto" w:fill="auto"/>
            <w:vAlign w:val="center"/>
          </w:tcPr>
          <w:p w14:paraId="1578202F"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390,93</m:t>
                    </m:r>
                  </m:num>
                  <m:den>
                    <m:r>
                      <w:rPr>
                        <w:rFonts w:ascii="Cambria Math" w:hAnsi="Cambria Math"/>
                        <w:color w:val="000000"/>
                        <w:kern w:val="2"/>
                        <w:sz w:val="20"/>
                        <w:szCs w:val="20"/>
                      </w:rPr>
                      <m:t>528,54</m:t>
                    </m:r>
                  </m:den>
                </m:f>
              </m:oMath>
            </m:oMathPara>
          </w:p>
        </w:tc>
      </w:tr>
      <w:tr w:rsidR="00B079E9" w:rsidRPr="00997816" w14:paraId="2D7FCF83" w14:textId="77777777" w:rsidTr="00BB5E70">
        <w:trPr>
          <w:jc w:val="center"/>
        </w:trPr>
        <w:tc>
          <w:tcPr>
            <w:tcW w:w="1271" w:type="dxa"/>
            <w:shd w:val="clear" w:color="auto" w:fill="auto"/>
            <w:vAlign w:val="center"/>
          </w:tcPr>
          <w:p w14:paraId="4DAC13C7" w14:textId="77777777" w:rsidR="00B079E9" w:rsidRPr="00997816" w:rsidRDefault="00B079E9" w:rsidP="00B079E9">
            <w:pPr>
              <w:widowControl w:val="0"/>
              <w:autoSpaceDE w:val="0"/>
              <w:autoSpaceDN w:val="0"/>
              <w:adjustRightInd w:val="0"/>
              <w:jc w:val="center"/>
              <w:rPr>
                <w:color w:val="000000"/>
                <w:kern w:val="2"/>
                <w:sz w:val="20"/>
                <w:szCs w:val="20"/>
              </w:rPr>
            </w:pPr>
            <w:r w:rsidRPr="00997816">
              <w:rPr>
                <w:color w:val="000000"/>
                <w:kern w:val="2"/>
                <w:sz w:val="20"/>
                <w:szCs w:val="20"/>
              </w:rPr>
              <w:t>200</w:t>
            </w:r>
          </w:p>
        </w:tc>
        <w:tc>
          <w:tcPr>
            <w:tcW w:w="1276" w:type="dxa"/>
            <w:shd w:val="clear" w:color="auto" w:fill="auto"/>
            <w:vAlign w:val="center"/>
          </w:tcPr>
          <w:p w14:paraId="5D7F9933"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18,64</m:t>
                    </m:r>
                  </m:num>
                  <m:den>
                    <m:r>
                      <w:rPr>
                        <w:rFonts w:ascii="Cambria Math" w:hAnsi="Cambria Math"/>
                        <w:color w:val="000000"/>
                        <w:kern w:val="2"/>
                        <w:sz w:val="20"/>
                        <w:szCs w:val="20"/>
                      </w:rPr>
                      <m:t>27,05</m:t>
                    </m:r>
                  </m:den>
                </m:f>
              </m:oMath>
            </m:oMathPara>
          </w:p>
        </w:tc>
        <w:tc>
          <w:tcPr>
            <w:tcW w:w="1417" w:type="dxa"/>
          </w:tcPr>
          <w:p w14:paraId="0325268D"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93,2</m:t>
                    </m:r>
                  </m:num>
                  <m:den>
                    <m:r>
                      <w:rPr>
                        <w:rFonts w:ascii="Cambria Math" w:hAnsi="Cambria Math"/>
                        <w:color w:val="000000"/>
                        <w:kern w:val="2"/>
                        <w:sz w:val="20"/>
                        <w:szCs w:val="20"/>
                      </w:rPr>
                      <m:t>135,23</m:t>
                    </m:r>
                  </m:den>
                </m:f>
              </m:oMath>
            </m:oMathPara>
          </w:p>
        </w:tc>
        <w:tc>
          <w:tcPr>
            <w:tcW w:w="1418" w:type="dxa"/>
          </w:tcPr>
          <w:p w14:paraId="4344ADB7"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186,39</m:t>
                    </m:r>
                  </m:num>
                  <m:den>
                    <m:r>
                      <w:rPr>
                        <w:rFonts w:ascii="Cambria Math" w:hAnsi="Cambria Math"/>
                        <w:color w:val="000000"/>
                        <w:kern w:val="2"/>
                        <w:sz w:val="20"/>
                        <w:szCs w:val="20"/>
                      </w:rPr>
                      <m:t>270,45</m:t>
                    </m:r>
                  </m:den>
                </m:f>
              </m:oMath>
            </m:oMathPara>
          </w:p>
        </w:tc>
        <w:tc>
          <w:tcPr>
            <w:tcW w:w="1276" w:type="dxa"/>
          </w:tcPr>
          <w:p w14:paraId="3CC90BB1"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279,59</m:t>
                    </m:r>
                  </m:num>
                  <m:den>
                    <m:r>
                      <w:rPr>
                        <w:rFonts w:ascii="Cambria Math" w:hAnsi="Cambria Math"/>
                        <w:color w:val="000000"/>
                        <w:kern w:val="2"/>
                        <w:sz w:val="20"/>
                        <w:szCs w:val="20"/>
                      </w:rPr>
                      <m:t>405,68</m:t>
                    </m:r>
                  </m:den>
                </m:f>
              </m:oMath>
            </m:oMathPara>
          </w:p>
        </w:tc>
        <w:tc>
          <w:tcPr>
            <w:tcW w:w="1572" w:type="dxa"/>
            <w:shd w:val="clear" w:color="auto" w:fill="auto"/>
            <w:vAlign w:val="center"/>
          </w:tcPr>
          <w:p w14:paraId="07D2575A"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372,79</m:t>
                    </m:r>
                  </m:num>
                  <m:den>
                    <m:r>
                      <w:rPr>
                        <w:rFonts w:ascii="Cambria Math" w:hAnsi="Cambria Math"/>
                        <w:color w:val="000000"/>
                        <w:kern w:val="2"/>
                        <w:sz w:val="20"/>
                        <w:szCs w:val="20"/>
                      </w:rPr>
                      <m:t>540,91</m:t>
                    </m:r>
                  </m:den>
                </m:f>
              </m:oMath>
            </m:oMathPara>
          </w:p>
        </w:tc>
        <w:tc>
          <w:tcPr>
            <w:tcW w:w="1114" w:type="dxa"/>
            <w:shd w:val="clear" w:color="auto" w:fill="auto"/>
            <w:vAlign w:val="center"/>
          </w:tcPr>
          <w:p w14:paraId="2B6DC734"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465,98</m:t>
                    </m:r>
                  </m:num>
                  <m:den>
                    <m:r>
                      <w:rPr>
                        <w:rFonts w:ascii="Cambria Math" w:hAnsi="Cambria Math"/>
                        <w:color w:val="000000"/>
                        <w:kern w:val="2"/>
                        <w:sz w:val="20"/>
                        <w:szCs w:val="20"/>
                      </w:rPr>
                      <m:t>678,13</m:t>
                    </m:r>
                  </m:den>
                </m:f>
              </m:oMath>
            </m:oMathPara>
          </w:p>
        </w:tc>
      </w:tr>
      <w:tr w:rsidR="00B079E9" w:rsidRPr="00997816" w14:paraId="00520E10" w14:textId="77777777" w:rsidTr="00BB5E70">
        <w:trPr>
          <w:jc w:val="center"/>
        </w:trPr>
        <w:tc>
          <w:tcPr>
            <w:tcW w:w="1271" w:type="dxa"/>
            <w:shd w:val="clear" w:color="auto" w:fill="auto"/>
            <w:vAlign w:val="center"/>
          </w:tcPr>
          <w:p w14:paraId="1B48A238" w14:textId="77777777" w:rsidR="00B079E9" w:rsidRPr="00997816" w:rsidRDefault="00B079E9" w:rsidP="00B079E9">
            <w:pPr>
              <w:widowControl w:val="0"/>
              <w:autoSpaceDE w:val="0"/>
              <w:autoSpaceDN w:val="0"/>
              <w:adjustRightInd w:val="0"/>
              <w:jc w:val="center"/>
              <w:rPr>
                <w:color w:val="000000"/>
                <w:kern w:val="2"/>
                <w:sz w:val="20"/>
                <w:szCs w:val="20"/>
              </w:rPr>
            </w:pPr>
            <w:r w:rsidRPr="00997816">
              <w:rPr>
                <w:color w:val="000000"/>
                <w:kern w:val="2"/>
                <w:sz w:val="20"/>
                <w:szCs w:val="20"/>
              </w:rPr>
              <w:t>400</w:t>
            </w:r>
          </w:p>
        </w:tc>
        <w:tc>
          <w:tcPr>
            <w:tcW w:w="1276" w:type="dxa"/>
            <w:shd w:val="clear" w:color="auto" w:fill="auto"/>
            <w:vAlign w:val="center"/>
          </w:tcPr>
          <w:p w14:paraId="4C83F8B6"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20,62</m:t>
                    </m:r>
                  </m:num>
                  <m:den>
                    <m:r>
                      <w:rPr>
                        <w:rFonts w:ascii="Cambria Math" w:hAnsi="Cambria Math"/>
                        <w:color w:val="000000"/>
                        <w:kern w:val="2"/>
                        <w:sz w:val="20"/>
                        <w:szCs w:val="20"/>
                      </w:rPr>
                      <m:t>31,42</m:t>
                    </m:r>
                  </m:den>
                </m:f>
              </m:oMath>
            </m:oMathPara>
          </w:p>
        </w:tc>
        <w:tc>
          <w:tcPr>
            <w:tcW w:w="1417" w:type="dxa"/>
          </w:tcPr>
          <w:p w14:paraId="7DE94B0F"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103,12</m:t>
                    </m:r>
                  </m:num>
                  <m:den>
                    <m:r>
                      <w:rPr>
                        <w:rFonts w:ascii="Cambria Math" w:hAnsi="Cambria Math"/>
                        <w:color w:val="000000"/>
                        <w:kern w:val="2"/>
                        <w:sz w:val="20"/>
                        <w:szCs w:val="20"/>
                      </w:rPr>
                      <m:t>157,11</m:t>
                    </m:r>
                  </m:den>
                </m:f>
              </m:oMath>
            </m:oMathPara>
          </w:p>
        </w:tc>
        <w:tc>
          <w:tcPr>
            <w:tcW w:w="1418" w:type="dxa"/>
          </w:tcPr>
          <w:p w14:paraId="79F182B2"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206,24</m:t>
                    </m:r>
                  </m:num>
                  <m:den>
                    <m:r>
                      <w:rPr>
                        <w:rFonts w:ascii="Cambria Math" w:hAnsi="Cambria Math"/>
                        <w:color w:val="000000"/>
                        <w:kern w:val="2"/>
                        <w:sz w:val="20"/>
                        <w:szCs w:val="20"/>
                      </w:rPr>
                      <m:t>314,22</m:t>
                    </m:r>
                  </m:den>
                </m:f>
              </m:oMath>
            </m:oMathPara>
          </w:p>
        </w:tc>
        <w:tc>
          <w:tcPr>
            <w:tcW w:w="1276" w:type="dxa"/>
          </w:tcPr>
          <w:p w14:paraId="412FD76E"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309,36</m:t>
                    </m:r>
                  </m:num>
                  <m:den>
                    <m:r>
                      <w:rPr>
                        <w:rFonts w:ascii="Cambria Math" w:hAnsi="Cambria Math"/>
                        <w:color w:val="000000"/>
                        <w:kern w:val="2"/>
                        <w:sz w:val="20"/>
                        <w:szCs w:val="20"/>
                      </w:rPr>
                      <m:t>471,33</m:t>
                    </m:r>
                  </m:den>
                </m:f>
              </m:oMath>
            </m:oMathPara>
          </w:p>
        </w:tc>
        <w:tc>
          <w:tcPr>
            <w:tcW w:w="1572" w:type="dxa"/>
            <w:shd w:val="clear" w:color="auto" w:fill="auto"/>
            <w:vAlign w:val="center"/>
          </w:tcPr>
          <w:p w14:paraId="63687F09"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412,48</m:t>
                    </m:r>
                  </m:num>
                  <m:den>
                    <m:r>
                      <w:rPr>
                        <w:rFonts w:ascii="Cambria Math" w:hAnsi="Cambria Math"/>
                        <w:color w:val="000000"/>
                        <w:kern w:val="2"/>
                        <w:sz w:val="20"/>
                        <w:szCs w:val="20"/>
                      </w:rPr>
                      <m:t>628,44</m:t>
                    </m:r>
                  </m:den>
                </m:f>
              </m:oMath>
            </m:oMathPara>
          </w:p>
        </w:tc>
        <w:tc>
          <w:tcPr>
            <w:tcW w:w="1114" w:type="dxa"/>
            <w:shd w:val="clear" w:color="auto" w:fill="auto"/>
            <w:vAlign w:val="center"/>
          </w:tcPr>
          <w:p w14:paraId="3ADE6193" w14:textId="77777777" w:rsidR="00B079E9" w:rsidRPr="00997816" w:rsidRDefault="00000000" w:rsidP="00B079E9">
            <w:pPr>
              <w:widowControl w:val="0"/>
              <w:autoSpaceDE w:val="0"/>
              <w:autoSpaceDN w:val="0"/>
              <w:adjustRightInd w:val="0"/>
              <w:jc w:val="center"/>
              <w:rPr>
                <w:color w:val="000000"/>
                <w:kern w:val="2"/>
                <w:sz w:val="20"/>
                <w:szCs w:val="20"/>
              </w:rPr>
            </w:pPr>
            <m:oMathPara>
              <m:oMath>
                <m:f>
                  <m:fPr>
                    <m:ctrlPr>
                      <w:rPr>
                        <w:rFonts w:ascii="Cambria Math" w:hAnsi="Cambria Math"/>
                        <w:i/>
                        <w:color w:val="000000"/>
                        <w:kern w:val="2"/>
                        <w:sz w:val="20"/>
                        <w:szCs w:val="20"/>
                      </w:rPr>
                    </m:ctrlPr>
                  </m:fPr>
                  <m:num>
                    <m:r>
                      <w:rPr>
                        <w:rFonts w:ascii="Cambria Math" w:hAnsi="Cambria Math"/>
                        <w:color w:val="000000"/>
                        <w:kern w:val="2"/>
                        <w:sz w:val="20"/>
                        <w:szCs w:val="20"/>
                      </w:rPr>
                      <m:t>515,6</m:t>
                    </m:r>
                  </m:num>
                  <m:den>
                    <m:r>
                      <w:rPr>
                        <w:rFonts w:ascii="Cambria Math" w:hAnsi="Cambria Math"/>
                        <w:color w:val="000000"/>
                        <w:kern w:val="2"/>
                        <w:sz w:val="20"/>
                        <w:szCs w:val="20"/>
                      </w:rPr>
                      <m:t>785,55</m:t>
                    </m:r>
                  </m:den>
                </m:f>
              </m:oMath>
            </m:oMathPara>
          </w:p>
        </w:tc>
      </w:tr>
    </w:tbl>
    <w:p w14:paraId="66F21E21" w14:textId="77777777" w:rsidR="00B079E9" w:rsidRPr="00997816" w:rsidRDefault="00B079E9" w:rsidP="00B079E9">
      <w:pPr>
        <w:jc w:val="both"/>
        <w:rPr>
          <w:color w:val="000000"/>
          <w:kern w:val="2"/>
          <w:sz w:val="20"/>
          <w:szCs w:val="20"/>
        </w:rPr>
      </w:pPr>
    </w:p>
    <w:p w14:paraId="68604DA8" w14:textId="77777777" w:rsidR="007C31F4" w:rsidRPr="00997816" w:rsidRDefault="007C31F4" w:rsidP="007C31F4">
      <w:pPr>
        <w:ind w:firstLine="142"/>
        <w:jc w:val="both"/>
        <w:rPr>
          <w:sz w:val="20"/>
          <w:szCs w:val="20"/>
        </w:rPr>
      </w:pPr>
      <w:r w:rsidRPr="00997816">
        <w:rPr>
          <w:sz w:val="20"/>
          <w:szCs w:val="20"/>
          <w:lang w:eastAsia="en-US"/>
        </w:rPr>
        <w:t xml:space="preserve">Представленные данные служат предельными оценками возможных значений ГИТ, причем в числителе представлены значения ГИТ при выполнении ВЛ проводом АС-240, а в знаменателе – значения ГИТ при выполнении ВЛ проводом АС-400. </w:t>
      </w:r>
      <w:r w:rsidRPr="00997816">
        <w:rPr>
          <w:sz w:val="20"/>
          <w:szCs w:val="20"/>
        </w:rPr>
        <w:t xml:space="preserve">Как видно, в зависимости от протяженности, географической ориентации ВЛ и вектора напряженности </w:t>
      </w:r>
      <w:bookmarkStart w:id="0" w:name="_Hlk200305278"/>
      <w:r w:rsidRPr="00997816">
        <w:rPr>
          <w:b/>
          <w:sz w:val="20"/>
          <w:szCs w:val="20"/>
        </w:rPr>
        <w:t>Е</w:t>
      </w:r>
      <w:bookmarkEnd w:id="0"/>
      <w:r w:rsidRPr="00997816">
        <w:rPr>
          <w:sz w:val="20"/>
          <w:szCs w:val="20"/>
        </w:rPr>
        <w:t xml:space="preserve"> геоэлектрического поля величина ГИТ в нейтрали силовых трансформаторов может изменяться от единиц до сотен ампер.</w:t>
      </w:r>
    </w:p>
    <w:p w14:paraId="0F867EC9" w14:textId="2476D2E9" w:rsidR="00B079E9" w:rsidRPr="00997816" w:rsidRDefault="00B079E9" w:rsidP="00280B36">
      <w:pPr>
        <w:ind w:firstLine="142"/>
        <w:jc w:val="both"/>
        <w:rPr>
          <w:rFonts w:eastAsia="Calibri"/>
          <w:sz w:val="20"/>
          <w:szCs w:val="20"/>
          <w:lang w:eastAsia="en-US"/>
        </w:rPr>
      </w:pPr>
      <w:r w:rsidRPr="00997816">
        <w:rPr>
          <w:rFonts w:eastAsia="Calibri"/>
          <w:sz w:val="20"/>
          <w:szCs w:val="20"/>
          <w:lang w:eastAsia="en-US"/>
        </w:rPr>
        <w:t xml:space="preserve">Ток нулевой последовательности основной частоты 50 Гц при нарушении симметрии фазных напряжений непосредственно в узле подключения силового трансформатора с наиболее распространенной схемой соединения обмоток </w:t>
      </w:r>
      <m:oMath>
        <m:f>
          <m:fPr>
            <m:type m:val="lin"/>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Y</m:t>
                </m:r>
              </m:e>
              <m:sub>
                <m:r>
                  <w:rPr>
                    <w:rFonts w:ascii="Cambria Math" w:eastAsia="Calibri" w:hAnsi="Cambria Math"/>
                    <w:sz w:val="20"/>
                    <w:szCs w:val="20"/>
                    <w:lang w:eastAsia="en-US"/>
                  </w:rPr>
                  <m:t>0</m:t>
                </m:r>
              </m:sub>
            </m:sSub>
          </m:num>
          <m:den>
            <m:r>
              <w:rPr>
                <w:rFonts w:ascii="Cambria Math" w:eastAsia="Calibri" w:hAnsi="Cambria Math"/>
                <w:sz w:val="20"/>
                <w:szCs w:val="20"/>
                <w:lang w:eastAsia="en-US"/>
              </w:rPr>
              <m:t>∆</m:t>
            </m:r>
          </m:den>
        </m:f>
      </m:oMath>
      <w:r w:rsidRPr="00997816">
        <w:rPr>
          <w:rFonts w:eastAsia="Calibri"/>
          <w:sz w:val="20"/>
          <w:szCs w:val="20"/>
          <w:lang w:eastAsia="en-US"/>
        </w:rPr>
        <w:t xml:space="preserve"> можно записать в виде</w:t>
      </w:r>
    </w:p>
    <w:p w14:paraId="35BA93B3" w14:textId="40C59549" w:rsidR="00B079E9" w:rsidRPr="00997816" w:rsidRDefault="00000000" w:rsidP="00B079E9">
      <w:pPr>
        <w:ind w:firstLine="720"/>
        <w:jc w:val="right"/>
        <w:rPr>
          <w:rFonts w:eastAsia="Calibri"/>
          <w:sz w:val="20"/>
          <w:szCs w:val="20"/>
          <w:lang w:eastAsia="en-US"/>
        </w:rPr>
      </w:pPr>
      <m:oMath>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I</m:t>
            </m:r>
          </m:e>
          <m:sub>
            <m:r>
              <w:rPr>
                <w:rFonts w:ascii="Cambria Math" w:eastAsia="Calibri" w:hAnsi="Cambria Math"/>
                <w:sz w:val="20"/>
                <w:szCs w:val="20"/>
                <w:lang w:eastAsia="en-US"/>
              </w:rPr>
              <m:t>(0)</m:t>
            </m:r>
          </m:sub>
        </m:sSub>
        <m:r>
          <w:rPr>
            <w:rFonts w:ascii="Cambria Math" w:eastAsia="Calibri" w:hAnsi="Cambria Math"/>
            <w:sz w:val="20"/>
            <w:szCs w:val="20"/>
            <w:lang w:eastAsia="en-US"/>
          </w:rPr>
          <m:t>=(1,05-1,25)∙</m:t>
        </m:r>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k</m:t>
                </m:r>
              </m:e>
              <m:sub>
                <m:r>
                  <w:rPr>
                    <w:rFonts w:ascii="Cambria Math" w:eastAsia="Calibri" w:hAnsi="Cambria Math"/>
                    <w:sz w:val="20"/>
                    <w:szCs w:val="20"/>
                    <w:lang w:eastAsia="en-US"/>
                  </w:rPr>
                  <m:t>U</m:t>
                </m:r>
                <m:d>
                  <m:dPr>
                    <m:ctrlPr>
                      <w:rPr>
                        <w:rFonts w:ascii="Cambria Math" w:eastAsia="Calibri" w:hAnsi="Cambria Math"/>
                        <w:i/>
                        <w:sz w:val="20"/>
                        <w:szCs w:val="20"/>
                        <w:lang w:eastAsia="en-US"/>
                      </w:rPr>
                    </m:ctrlPr>
                  </m:dPr>
                  <m:e>
                    <m:r>
                      <w:rPr>
                        <w:rFonts w:ascii="Cambria Math" w:eastAsia="Calibri" w:hAnsi="Cambria Math"/>
                        <w:sz w:val="20"/>
                        <w:szCs w:val="20"/>
                        <w:lang w:eastAsia="en-US"/>
                      </w:rPr>
                      <m:t>0</m:t>
                    </m:r>
                  </m:e>
                </m:d>
                <m:r>
                  <w:rPr>
                    <w:rFonts w:ascii="Cambria Math" w:eastAsia="Calibri" w:hAnsi="Cambria Math"/>
                    <w:sz w:val="20"/>
                    <w:szCs w:val="20"/>
                    <w:lang w:eastAsia="en-US"/>
                  </w:rPr>
                  <m:t>%</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u</m:t>
                </m:r>
              </m:e>
              <m:sub>
                <m:r>
                  <w:rPr>
                    <w:rFonts w:ascii="Cambria Math" w:eastAsia="Calibri" w:hAnsi="Cambria Math"/>
                    <w:sz w:val="20"/>
                    <w:szCs w:val="20"/>
                    <w:lang w:eastAsia="en-US"/>
                  </w:rPr>
                  <m:t>k%</m:t>
                </m:r>
              </m:sub>
            </m:sSub>
          </m:den>
        </m:f>
        <m:r>
          <w:rPr>
            <w:rFonts w:ascii="Cambria Math" w:eastAsia="Calibri" w:hAnsi="Cambria Math"/>
            <w:sz w:val="20"/>
            <w:szCs w:val="20"/>
            <w:lang w:eastAsia="en-US"/>
          </w:rPr>
          <m:t>∙</m:t>
        </m:r>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S</m:t>
                </m:r>
              </m:e>
              <m:sub>
                <m:r>
                  <w:rPr>
                    <w:rFonts w:ascii="Cambria Math" w:eastAsia="Calibri" w:hAnsi="Cambria Math"/>
                    <w:sz w:val="20"/>
                    <w:szCs w:val="20"/>
                    <w:lang w:eastAsia="en-US"/>
                  </w:rPr>
                  <m:t>ном</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U</m:t>
                </m:r>
              </m:e>
              <m:sub>
                <m:r>
                  <w:rPr>
                    <w:rFonts w:ascii="Cambria Math" w:eastAsia="Calibri" w:hAnsi="Cambria Math"/>
                    <w:sz w:val="20"/>
                    <w:szCs w:val="20"/>
                    <w:lang w:eastAsia="en-US"/>
                  </w:rPr>
                  <m:t>ном</m:t>
                </m:r>
              </m:sub>
            </m:sSub>
          </m:den>
        </m:f>
      </m:oMath>
      <w:r w:rsidR="00B079E9" w:rsidRPr="00997816">
        <w:rPr>
          <w:rFonts w:eastAsia="Calibri"/>
          <w:sz w:val="20"/>
          <w:szCs w:val="20"/>
          <w:lang w:eastAsia="en-US"/>
        </w:rPr>
        <w:t>,</w:t>
      </w:r>
      <w:r w:rsidR="00B079E9" w:rsidRPr="00997816">
        <w:rPr>
          <w:rFonts w:eastAsia="Calibri"/>
          <w:sz w:val="20"/>
          <w:szCs w:val="20"/>
          <w:lang w:eastAsia="en-US"/>
        </w:rPr>
        <w:tab/>
      </w:r>
      <w:r w:rsidR="00AF408F" w:rsidRPr="00997816">
        <w:rPr>
          <w:rFonts w:eastAsia="Calibri"/>
          <w:sz w:val="20"/>
          <w:szCs w:val="20"/>
          <w:lang w:eastAsia="en-US"/>
        </w:rPr>
        <w:tab/>
      </w:r>
      <w:r w:rsidR="00B079E9" w:rsidRPr="00997816">
        <w:rPr>
          <w:rFonts w:eastAsia="Calibri"/>
          <w:sz w:val="20"/>
          <w:szCs w:val="20"/>
          <w:lang w:eastAsia="en-US"/>
        </w:rPr>
        <w:tab/>
      </w:r>
      <w:r w:rsidR="00B079E9" w:rsidRPr="00997816">
        <w:rPr>
          <w:rFonts w:eastAsia="Calibri"/>
          <w:sz w:val="20"/>
          <w:szCs w:val="20"/>
          <w:lang w:eastAsia="en-US"/>
        </w:rPr>
        <w:tab/>
      </w:r>
      <w:r w:rsidR="00B079E9" w:rsidRPr="00997816">
        <w:rPr>
          <w:rFonts w:eastAsia="Calibri"/>
          <w:sz w:val="20"/>
          <w:szCs w:val="20"/>
          <w:lang w:eastAsia="en-US"/>
        </w:rPr>
        <w:tab/>
        <w:t>(2)</w:t>
      </w:r>
    </w:p>
    <w:p w14:paraId="1671DB05" w14:textId="79B851F1" w:rsidR="00B079E9" w:rsidRPr="00997816" w:rsidRDefault="00B079E9" w:rsidP="00280B36">
      <w:pPr>
        <w:ind w:firstLine="142"/>
        <w:jc w:val="both"/>
        <w:rPr>
          <w:rFonts w:eastAsia="Calibri"/>
          <w:sz w:val="20"/>
          <w:szCs w:val="20"/>
          <w:lang w:eastAsia="en-US"/>
        </w:rPr>
      </w:pPr>
      <w:r w:rsidRPr="00997816">
        <w:rPr>
          <w:rFonts w:eastAsia="Calibri"/>
          <w:sz w:val="20"/>
          <w:szCs w:val="20"/>
          <w:lang w:eastAsia="en-US"/>
        </w:rPr>
        <w:t xml:space="preserve">где </w:t>
      </w:r>
      <m:oMath>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k</m:t>
            </m:r>
          </m:e>
          <m:sub>
            <m:r>
              <w:rPr>
                <w:rFonts w:ascii="Cambria Math" w:eastAsia="Calibri" w:hAnsi="Cambria Math"/>
                <w:sz w:val="20"/>
                <w:szCs w:val="20"/>
                <w:lang w:eastAsia="en-US"/>
              </w:rPr>
              <m:t>U</m:t>
            </m:r>
            <m:d>
              <m:dPr>
                <m:ctrlPr>
                  <w:rPr>
                    <w:rFonts w:ascii="Cambria Math" w:eastAsia="Calibri" w:hAnsi="Cambria Math"/>
                    <w:i/>
                    <w:sz w:val="20"/>
                    <w:szCs w:val="20"/>
                    <w:lang w:eastAsia="en-US"/>
                  </w:rPr>
                </m:ctrlPr>
              </m:dPr>
              <m:e>
                <m:r>
                  <w:rPr>
                    <w:rFonts w:ascii="Cambria Math" w:eastAsia="Calibri" w:hAnsi="Cambria Math"/>
                    <w:sz w:val="20"/>
                    <w:szCs w:val="20"/>
                    <w:lang w:eastAsia="en-US"/>
                  </w:rPr>
                  <m:t>0</m:t>
                </m:r>
              </m:e>
            </m:d>
            <m:r>
              <w:rPr>
                <w:rFonts w:ascii="Cambria Math" w:eastAsia="Calibri" w:hAnsi="Cambria Math"/>
                <w:sz w:val="20"/>
                <w:szCs w:val="20"/>
                <w:lang w:eastAsia="en-US"/>
              </w:rPr>
              <m:t>%</m:t>
            </m:r>
          </m:sub>
        </m:sSub>
      </m:oMath>
      <w:r w:rsidRPr="00997816">
        <w:rPr>
          <w:rFonts w:eastAsia="Calibri"/>
          <w:sz w:val="20"/>
          <w:szCs w:val="20"/>
          <w:lang w:eastAsia="en-US"/>
        </w:rPr>
        <w:t xml:space="preserve"> – коэффициент несимметрии фазных напряжений по нулевой последовательности; </w:t>
      </w:r>
      <m:oMath>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u</m:t>
            </m:r>
          </m:e>
          <m:sub>
            <m:r>
              <w:rPr>
                <w:rFonts w:ascii="Cambria Math" w:eastAsia="Calibri" w:hAnsi="Cambria Math"/>
                <w:sz w:val="20"/>
                <w:szCs w:val="20"/>
                <w:lang w:eastAsia="en-US"/>
              </w:rPr>
              <m:t>k%</m:t>
            </m:r>
          </m:sub>
        </m:sSub>
      </m:oMath>
      <w:r w:rsidRPr="00997816">
        <w:rPr>
          <w:rFonts w:eastAsia="Calibri"/>
          <w:sz w:val="20"/>
          <w:szCs w:val="20"/>
          <w:lang w:eastAsia="en-US"/>
        </w:rPr>
        <w:t xml:space="preserve"> – напряжение короткого замыкания силового трансформатора, выраженное в процентах;</w:t>
      </w:r>
      <w:r w:rsidRPr="00997816">
        <w:rPr>
          <w:rFonts w:ascii="Cambria Math" w:eastAsia="Calibri" w:hAnsi="Cambria Math"/>
          <w:i/>
          <w:sz w:val="20"/>
          <w:szCs w:val="20"/>
          <w:lang w:eastAsia="en-US"/>
        </w:rPr>
        <w:t xml:space="preserve"> </w:t>
      </w:r>
      <m:oMath>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S</m:t>
            </m:r>
          </m:e>
          <m:sub>
            <m:r>
              <w:rPr>
                <w:rFonts w:ascii="Cambria Math" w:eastAsia="Calibri" w:hAnsi="Cambria Math"/>
                <w:sz w:val="20"/>
                <w:szCs w:val="20"/>
                <w:lang w:eastAsia="en-US"/>
              </w:rPr>
              <m:t>ном</m:t>
            </m:r>
          </m:sub>
        </m:sSub>
      </m:oMath>
      <w:r w:rsidRPr="00997816">
        <w:rPr>
          <w:rFonts w:eastAsia="Calibri"/>
          <w:sz w:val="20"/>
          <w:szCs w:val="20"/>
          <w:lang w:eastAsia="en-US"/>
        </w:rPr>
        <w:t xml:space="preserve"> – номинальная мощность силового трансформатора; </w:t>
      </w:r>
      <m:oMath>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U</m:t>
            </m:r>
          </m:e>
          <m:sub>
            <m:r>
              <w:rPr>
                <w:rFonts w:ascii="Cambria Math" w:eastAsia="Calibri" w:hAnsi="Cambria Math"/>
                <w:sz w:val="20"/>
                <w:szCs w:val="20"/>
                <w:lang w:eastAsia="en-US"/>
              </w:rPr>
              <m:t>ном</m:t>
            </m:r>
          </m:sub>
        </m:sSub>
      </m:oMath>
      <w:r w:rsidRPr="00997816">
        <w:rPr>
          <w:rFonts w:eastAsia="Calibri"/>
          <w:sz w:val="20"/>
          <w:szCs w:val="20"/>
          <w:lang w:eastAsia="en-US"/>
        </w:rPr>
        <w:t xml:space="preserve"> – номинальное напряжение силового трансформатора.</w:t>
      </w:r>
    </w:p>
    <w:p w14:paraId="00F2E11D" w14:textId="77777777" w:rsidR="00280B36" w:rsidRPr="00997816" w:rsidRDefault="00B079E9" w:rsidP="00280B36">
      <w:pPr>
        <w:ind w:firstLine="142"/>
        <w:jc w:val="both"/>
        <w:rPr>
          <w:rFonts w:eastAsia="Calibri"/>
          <w:sz w:val="20"/>
          <w:szCs w:val="20"/>
          <w:lang w:eastAsia="en-US"/>
        </w:rPr>
      </w:pPr>
      <w:r w:rsidRPr="00997816">
        <w:rPr>
          <w:rFonts w:eastAsia="Calibri"/>
          <w:sz w:val="20"/>
          <w:szCs w:val="20"/>
          <w:lang w:eastAsia="en-US"/>
        </w:rPr>
        <w:t xml:space="preserve">Выражение (2) позволяет оценить величину тока нулевой последовательности основной частоты по паспортным данным силового трансформатора и реальной </w:t>
      </w:r>
      <w:proofErr w:type="spellStart"/>
      <w:r w:rsidRPr="00997816">
        <w:rPr>
          <w:rFonts w:eastAsia="Calibri"/>
          <w:sz w:val="20"/>
          <w:szCs w:val="20"/>
          <w:lang w:eastAsia="en-US"/>
        </w:rPr>
        <w:t>несимметрии</w:t>
      </w:r>
      <w:proofErr w:type="spellEnd"/>
      <w:r w:rsidRPr="00997816">
        <w:rPr>
          <w:rFonts w:eastAsia="Calibri"/>
          <w:sz w:val="20"/>
          <w:szCs w:val="20"/>
          <w:lang w:eastAsia="en-US"/>
        </w:rPr>
        <w:t xml:space="preserve"> фазных напряжений в узле подключения силового трансформатора в электрическую сеть. Величина коэффициента </w:t>
      </w:r>
      <w:proofErr w:type="spellStart"/>
      <w:r w:rsidRPr="00997816">
        <w:rPr>
          <w:rFonts w:eastAsia="Calibri"/>
          <w:sz w:val="20"/>
          <w:szCs w:val="20"/>
          <w:lang w:eastAsia="en-US"/>
        </w:rPr>
        <w:t>несимметрии</w:t>
      </w:r>
      <w:proofErr w:type="spellEnd"/>
      <w:r w:rsidRPr="00997816">
        <w:rPr>
          <w:rFonts w:eastAsia="Calibri"/>
          <w:sz w:val="20"/>
          <w:szCs w:val="20"/>
          <w:lang w:eastAsia="en-US"/>
        </w:rPr>
        <w:t xml:space="preserve"> не должна превышать 2% в течение 95% времени интервала в одну неделю, т.е. не более 8,4 часа непрерывной </w:t>
      </w:r>
      <w:proofErr w:type="spellStart"/>
      <w:r w:rsidRPr="00997816">
        <w:rPr>
          <w:rFonts w:eastAsia="Calibri"/>
          <w:sz w:val="20"/>
          <w:szCs w:val="20"/>
          <w:lang w:eastAsia="en-US"/>
        </w:rPr>
        <w:t>несимметрии</w:t>
      </w:r>
      <w:proofErr w:type="spellEnd"/>
      <w:r w:rsidRPr="00997816">
        <w:rPr>
          <w:rFonts w:eastAsia="Calibri"/>
          <w:sz w:val="20"/>
          <w:szCs w:val="20"/>
          <w:lang w:eastAsia="en-US"/>
        </w:rPr>
        <w:t xml:space="preserve"> с коэффициентом 2%, либо случайные всплески различной продолжительности каждый, но суммарной продолжительностью не более 8,4 часа [</w:t>
      </w:r>
      <w:r w:rsidR="00AF408F" w:rsidRPr="00997816">
        <w:rPr>
          <w:rFonts w:eastAsia="Calibri"/>
          <w:sz w:val="20"/>
          <w:szCs w:val="20"/>
          <w:lang w:eastAsia="en-US"/>
        </w:rPr>
        <w:t>9</w:t>
      </w:r>
      <w:r w:rsidRPr="00997816">
        <w:rPr>
          <w:rFonts w:eastAsia="Calibri"/>
          <w:sz w:val="20"/>
          <w:szCs w:val="20"/>
          <w:lang w:eastAsia="en-US"/>
        </w:rPr>
        <w:t xml:space="preserve">]. </w:t>
      </w:r>
    </w:p>
    <w:p w14:paraId="060E71B9" w14:textId="08E62A56" w:rsidR="0004569F" w:rsidRPr="00997816" w:rsidRDefault="00B079E9" w:rsidP="00280B36">
      <w:pPr>
        <w:ind w:firstLine="142"/>
        <w:jc w:val="both"/>
        <w:rPr>
          <w:rFonts w:eastAsia="Calibri"/>
          <w:sz w:val="20"/>
          <w:szCs w:val="20"/>
          <w:lang w:eastAsia="en-US"/>
        </w:rPr>
      </w:pPr>
      <w:r w:rsidRPr="00997816">
        <w:rPr>
          <w:rFonts w:eastAsia="Calibri"/>
          <w:sz w:val="20"/>
          <w:szCs w:val="20"/>
          <w:lang w:eastAsia="en-US"/>
        </w:rPr>
        <w:t xml:space="preserve">Например, при </w:t>
      </w:r>
      <m:oMath>
        <m:sSub>
          <m:sSubPr>
            <m:ctrlPr>
              <w:rPr>
                <w:rFonts w:ascii="Cambria Math" w:eastAsia="Calibri" w:hAnsi="Cambria Math"/>
                <w:i/>
                <w:sz w:val="20"/>
                <w:szCs w:val="20"/>
                <w:lang w:eastAsia="en-US"/>
              </w:rPr>
            </m:ctrlPr>
          </m:sSubPr>
          <m:e>
            <m:r>
              <w:rPr>
                <w:rFonts w:ascii="Cambria Math" w:eastAsia="Calibri" w:hAnsi="Cambria Math"/>
                <w:sz w:val="20"/>
                <w:szCs w:val="20"/>
                <w:lang w:val="en-US" w:eastAsia="en-US"/>
              </w:rPr>
              <m:t>k</m:t>
            </m:r>
          </m:e>
          <m:sub>
            <m:r>
              <w:rPr>
                <w:rFonts w:ascii="Cambria Math" w:eastAsia="Calibri" w:hAnsi="Cambria Math"/>
                <w:sz w:val="20"/>
                <w:szCs w:val="20"/>
                <w:lang w:eastAsia="en-US"/>
              </w:rPr>
              <m:t>U</m:t>
            </m:r>
            <m:d>
              <m:dPr>
                <m:ctrlPr>
                  <w:rPr>
                    <w:rFonts w:ascii="Cambria Math" w:eastAsia="Calibri" w:hAnsi="Cambria Math"/>
                    <w:i/>
                    <w:sz w:val="20"/>
                    <w:szCs w:val="20"/>
                    <w:lang w:eastAsia="en-US"/>
                  </w:rPr>
                </m:ctrlPr>
              </m:dPr>
              <m:e>
                <m:r>
                  <w:rPr>
                    <w:rFonts w:ascii="Cambria Math" w:eastAsia="Calibri" w:hAnsi="Cambria Math"/>
                    <w:sz w:val="20"/>
                    <w:szCs w:val="20"/>
                    <w:lang w:eastAsia="en-US"/>
                  </w:rPr>
                  <m:t>0</m:t>
                </m:r>
              </m:e>
            </m:d>
            <m:r>
              <w:rPr>
                <w:rFonts w:ascii="Cambria Math" w:eastAsia="Calibri" w:hAnsi="Cambria Math"/>
                <w:sz w:val="20"/>
                <w:szCs w:val="20"/>
                <w:lang w:eastAsia="en-US"/>
              </w:rPr>
              <m:t>%</m:t>
            </m:r>
          </m:sub>
        </m:sSub>
        <m:r>
          <w:rPr>
            <w:rFonts w:ascii="Cambria Math" w:eastAsia="Calibri" w:hAnsi="Cambria Math"/>
            <w:sz w:val="20"/>
            <w:szCs w:val="20"/>
            <w:lang w:eastAsia="en-US"/>
          </w:rPr>
          <m:t>=2%</m:t>
        </m:r>
      </m:oMath>
      <w:r w:rsidRPr="00997816">
        <w:rPr>
          <w:rFonts w:eastAsia="Calibri"/>
          <w:sz w:val="20"/>
          <w:szCs w:val="20"/>
          <w:lang w:eastAsia="en-US"/>
        </w:rPr>
        <w:t xml:space="preserve">, паспортных параметрах силового трансформатора </w:t>
      </w:r>
      <m:oMath>
        <m:sSub>
          <m:sSubPr>
            <m:ctrlPr>
              <w:rPr>
                <w:rFonts w:ascii="Cambria Math" w:eastAsia="Calibri" w:hAnsi="Cambria Math"/>
                <w:i/>
                <w:sz w:val="20"/>
                <w:szCs w:val="20"/>
                <w:lang w:eastAsia="en-US"/>
              </w:rPr>
            </m:ctrlPr>
          </m:sSubPr>
          <m:e>
            <m:r>
              <w:rPr>
                <w:rFonts w:ascii="Cambria Math" w:eastAsia="Calibri" w:hAnsi="Cambria Math"/>
                <w:sz w:val="20"/>
                <w:szCs w:val="20"/>
                <w:lang w:val="en-US" w:eastAsia="en-US"/>
              </w:rPr>
              <m:t>S</m:t>
            </m:r>
          </m:e>
          <m:sub>
            <m:r>
              <w:rPr>
                <w:rFonts w:ascii="Cambria Math" w:eastAsia="Calibri" w:hAnsi="Cambria Math"/>
                <w:sz w:val="20"/>
                <w:szCs w:val="20"/>
                <w:lang w:eastAsia="en-US"/>
              </w:rPr>
              <m:t>ном</m:t>
            </m:r>
          </m:sub>
        </m:sSub>
        <m:r>
          <w:rPr>
            <w:rFonts w:ascii="Cambria Math" w:eastAsia="Calibri" w:hAnsi="Cambria Math"/>
            <w:sz w:val="20"/>
            <w:szCs w:val="20"/>
            <w:lang w:eastAsia="en-US"/>
          </w:rPr>
          <m:t xml:space="preserve">=200 МВА, </m:t>
        </m:r>
        <m:sSub>
          <m:sSubPr>
            <m:ctrlPr>
              <w:rPr>
                <w:rFonts w:ascii="Cambria Math" w:eastAsia="Calibri" w:hAnsi="Cambria Math"/>
                <w:i/>
                <w:sz w:val="20"/>
                <w:szCs w:val="20"/>
                <w:lang w:eastAsia="en-US"/>
              </w:rPr>
            </m:ctrlPr>
          </m:sSubPr>
          <m:e>
            <m:r>
              <w:rPr>
                <w:rFonts w:ascii="Cambria Math" w:eastAsia="Calibri" w:hAnsi="Cambria Math"/>
                <w:sz w:val="20"/>
                <w:szCs w:val="20"/>
                <w:lang w:val="en-US" w:eastAsia="en-US"/>
              </w:rPr>
              <m:t>U</m:t>
            </m:r>
          </m:e>
          <m:sub>
            <m:r>
              <w:rPr>
                <w:rFonts w:ascii="Cambria Math" w:eastAsia="Calibri" w:hAnsi="Cambria Math"/>
                <w:sz w:val="20"/>
                <w:szCs w:val="20"/>
                <w:lang w:eastAsia="en-US"/>
              </w:rPr>
              <m:t>ном</m:t>
            </m:r>
          </m:sub>
        </m:sSub>
        <m:r>
          <w:rPr>
            <w:rFonts w:ascii="Cambria Math" w:eastAsia="Calibri" w:hAnsi="Cambria Math"/>
            <w:sz w:val="20"/>
            <w:szCs w:val="20"/>
            <w:lang w:eastAsia="en-US"/>
          </w:rPr>
          <m:t xml:space="preserve">=220 кВ, </m:t>
        </m:r>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u</m:t>
            </m:r>
          </m:e>
          <m:sub>
            <m:r>
              <w:rPr>
                <w:rFonts w:ascii="Cambria Math" w:eastAsia="Calibri" w:hAnsi="Cambria Math"/>
                <w:sz w:val="20"/>
                <w:szCs w:val="20"/>
                <w:lang w:eastAsia="en-US"/>
              </w:rPr>
              <m:t>k%</m:t>
            </m:r>
          </m:sub>
        </m:sSub>
        <m:r>
          <w:rPr>
            <w:rFonts w:ascii="Cambria Math" w:eastAsia="Calibri" w:hAnsi="Cambria Math"/>
            <w:sz w:val="20"/>
            <w:szCs w:val="20"/>
            <w:lang w:eastAsia="en-US"/>
          </w:rPr>
          <m:t>=12%</m:t>
        </m:r>
      </m:oMath>
      <w:r w:rsidRPr="00997816">
        <w:rPr>
          <w:rFonts w:eastAsia="Calibri"/>
          <w:sz w:val="20"/>
          <w:szCs w:val="20"/>
          <w:lang w:eastAsia="en-US"/>
        </w:rPr>
        <w:t xml:space="preserve"> действующее значение тока нулевой последовательности составит </w:t>
      </w:r>
      <m:oMath>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I</m:t>
            </m:r>
          </m:e>
          <m:sub>
            <m:r>
              <w:rPr>
                <w:rFonts w:ascii="Cambria Math" w:eastAsia="Calibri" w:hAnsi="Cambria Math"/>
                <w:sz w:val="20"/>
                <w:szCs w:val="20"/>
                <w:lang w:eastAsia="en-US"/>
              </w:rPr>
              <m:t>(0)</m:t>
            </m:r>
          </m:sub>
        </m:sSub>
        <m:r>
          <w:rPr>
            <w:rFonts w:ascii="Cambria Math" w:eastAsia="Calibri" w:hAnsi="Cambria Math"/>
            <w:sz w:val="20"/>
            <w:szCs w:val="20"/>
            <w:lang w:eastAsia="en-US"/>
          </w:rPr>
          <m:t>=</m:t>
        </m:r>
        <m:d>
          <m:dPr>
            <m:ctrlPr>
              <w:rPr>
                <w:rFonts w:ascii="Cambria Math" w:eastAsia="Calibri" w:hAnsi="Cambria Math"/>
                <w:i/>
                <w:sz w:val="20"/>
                <w:szCs w:val="20"/>
                <w:lang w:eastAsia="en-US"/>
              </w:rPr>
            </m:ctrlPr>
          </m:dPr>
          <m:e>
            <m:r>
              <w:rPr>
                <w:rFonts w:ascii="Cambria Math" w:eastAsia="Calibri" w:hAnsi="Cambria Math"/>
                <w:sz w:val="20"/>
                <w:szCs w:val="20"/>
                <w:lang w:eastAsia="en-US"/>
              </w:rPr>
              <m:t>160÷190</m:t>
            </m:r>
          </m:e>
        </m:d>
        <m:r>
          <w:rPr>
            <w:rFonts w:ascii="Cambria Math" w:eastAsia="Calibri" w:hAnsi="Cambria Math"/>
            <w:sz w:val="20"/>
            <w:szCs w:val="20"/>
            <w:lang w:eastAsia="en-US"/>
          </w:rPr>
          <m:t>A</m:t>
        </m:r>
      </m:oMath>
      <w:r w:rsidRPr="00997816">
        <w:rPr>
          <w:rFonts w:eastAsia="Calibri"/>
          <w:sz w:val="20"/>
          <w:szCs w:val="20"/>
          <w:lang w:eastAsia="en-US"/>
        </w:rPr>
        <w:t xml:space="preserve">, действующее значение тока нейтрали составит </w:t>
      </w:r>
      <m:oMath>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I</m:t>
            </m:r>
          </m:e>
          <m:sub>
            <m:r>
              <w:rPr>
                <w:rFonts w:ascii="Cambria Math" w:eastAsia="Calibri" w:hAnsi="Cambria Math"/>
                <w:sz w:val="20"/>
                <w:szCs w:val="20"/>
                <w:lang w:eastAsia="en-US"/>
              </w:rPr>
              <m:t>N(0)</m:t>
            </m:r>
          </m:sub>
        </m:sSub>
        <m:r>
          <w:rPr>
            <w:rFonts w:ascii="Cambria Math" w:eastAsia="Calibri" w:hAnsi="Cambria Math"/>
            <w:sz w:val="20"/>
            <w:szCs w:val="20"/>
            <w:lang w:eastAsia="en-US"/>
          </w:rPr>
          <m:t>=3∙</m:t>
        </m:r>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I</m:t>
            </m:r>
          </m:e>
          <m:sub>
            <m:d>
              <m:dPr>
                <m:ctrlPr>
                  <w:rPr>
                    <w:rFonts w:ascii="Cambria Math" w:eastAsia="Calibri" w:hAnsi="Cambria Math"/>
                    <w:i/>
                    <w:sz w:val="20"/>
                    <w:szCs w:val="20"/>
                    <w:lang w:eastAsia="en-US"/>
                  </w:rPr>
                </m:ctrlPr>
              </m:dPr>
              <m:e>
                <m:r>
                  <w:rPr>
                    <w:rFonts w:ascii="Cambria Math" w:eastAsia="Calibri" w:hAnsi="Cambria Math"/>
                    <w:sz w:val="20"/>
                    <w:szCs w:val="20"/>
                    <w:lang w:eastAsia="en-US"/>
                  </w:rPr>
                  <m:t>0</m:t>
                </m:r>
              </m:e>
            </m:d>
          </m:sub>
        </m:sSub>
        <m:r>
          <w:rPr>
            <w:rFonts w:ascii="Cambria Math" w:eastAsia="Calibri" w:hAnsi="Cambria Math"/>
            <w:sz w:val="20"/>
            <w:szCs w:val="20"/>
            <w:lang w:eastAsia="en-US"/>
          </w:rPr>
          <m:t>=</m:t>
        </m:r>
        <m:d>
          <m:dPr>
            <m:ctrlPr>
              <w:rPr>
                <w:rFonts w:ascii="Cambria Math" w:eastAsia="Calibri" w:hAnsi="Cambria Math"/>
                <w:i/>
                <w:sz w:val="20"/>
                <w:szCs w:val="20"/>
                <w:lang w:eastAsia="en-US"/>
              </w:rPr>
            </m:ctrlPr>
          </m:dPr>
          <m:e>
            <m:r>
              <w:rPr>
                <w:rFonts w:ascii="Cambria Math" w:eastAsia="Calibri" w:hAnsi="Cambria Math"/>
                <w:sz w:val="20"/>
                <w:szCs w:val="20"/>
                <w:lang w:eastAsia="en-US"/>
              </w:rPr>
              <m:t>480÷570</m:t>
            </m:r>
          </m:e>
        </m:d>
        <m:r>
          <w:rPr>
            <w:rFonts w:ascii="Cambria Math" w:eastAsia="Calibri" w:hAnsi="Cambria Math"/>
            <w:sz w:val="20"/>
            <w:szCs w:val="20"/>
            <w:lang w:eastAsia="en-US"/>
          </w:rPr>
          <m:t>A.</m:t>
        </m:r>
      </m:oMath>
      <w:r w:rsidRPr="00997816">
        <w:rPr>
          <w:rFonts w:eastAsia="Calibri"/>
          <w:sz w:val="20"/>
          <w:szCs w:val="20"/>
          <w:lang w:eastAsia="en-US"/>
        </w:rPr>
        <w:t xml:space="preserve"> Если силовой трансформатор связан с электрической сетью ВЛ 220 кВ с проводами АС-400 и протяженностью 200 км, то в нейтрали при напряженности горизонтальной компоненты геоэлектрического поля </w:t>
      </w:r>
      <m:oMath>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E</m:t>
            </m:r>
          </m:e>
          <m:sub>
            <m:r>
              <w:rPr>
                <w:rFonts w:ascii="Cambria Math" w:eastAsia="Calibri" w:hAnsi="Cambria Math"/>
                <w:sz w:val="20"/>
                <w:szCs w:val="20"/>
                <w:lang w:eastAsia="en-US"/>
              </w:rPr>
              <m:t>0</m:t>
            </m:r>
          </m:sub>
        </m:sSub>
        <m:r>
          <w:rPr>
            <w:rFonts w:ascii="Cambria Math" w:eastAsia="Calibri" w:hAnsi="Cambria Math"/>
            <w:sz w:val="20"/>
            <w:szCs w:val="20"/>
            <w:lang w:eastAsia="en-US"/>
          </w:rPr>
          <m:t>=20 В/км</m:t>
        </m:r>
      </m:oMath>
      <w:r w:rsidRPr="00997816">
        <w:rPr>
          <w:rFonts w:eastAsia="Calibri"/>
          <w:sz w:val="20"/>
          <w:szCs w:val="20"/>
          <w:lang w:eastAsia="en-US"/>
        </w:rPr>
        <w:t xml:space="preserve"> величина ГИТ достигнет значения ≈628 А, а амплитуда суммарного тока нейтрали без учета высших гармонических составляющих достигнет значения </w:t>
      </w:r>
      <m:oMath>
        <m:sSub>
          <m:sSubPr>
            <m:ctrlPr>
              <w:rPr>
                <w:rFonts w:ascii="Cambria Math" w:eastAsia="Calibri" w:hAnsi="Cambria Math"/>
                <w:i/>
                <w:sz w:val="20"/>
                <w:szCs w:val="20"/>
                <w:lang w:eastAsia="en-US"/>
              </w:rPr>
            </m:ctrlPr>
          </m:sSubPr>
          <m:e>
            <m:r>
              <w:rPr>
                <w:rFonts w:ascii="Cambria Math" w:eastAsia="Calibri" w:hAnsi="Cambria Math"/>
                <w:sz w:val="20"/>
                <w:szCs w:val="20"/>
                <w:lang w:val="en-US" w:eastAsia="en-US"/>
              </w:rPr>
              <m:t>I</m:t>
            </m:r>
          </m:e>
          <m:sub>
            <m:r>
              <w:rPr>
                <w:rFonts w:ascii="Cambria Math" w:eastAsia="Calibri" w:hAnsi="Cambria Math"/>
                <w:sz w:val="20"/>
                <w:szCs w:val="20"/>
                <w:lang w:eastAsia="en-US"/>
              </w:rPr>
              <m:t>N(амп)</m:t>
            </m:r>
          </m:sub>
        </m:sSub>
        <m:r>
          <w:rPr>
            <w:rFonts w:ascii="Cambria Math" w:eastAsia="Calibri" w:hAnsi="Cambria Math"/>
            <w:sz w:val="20"/>
            <w:szCs w:val="20"/>
            <w:lang w:eastAsia="en-US"/>
          </w:rPr>
          <m:t>≅628+</m:t>
        </m:r>
        <m:rad>
          <m:radPr>
            <m:degHide m:val="1"/>
            <m:ctrlPr>
              <w:rPr>
                <w:rFonts w:ascii="Cambria Math" w:eastAsia="Calibri" w:hAnsi="Cambria Math"/>
                <w:i/>
                <w:sz w:val="20"/>
                <w:szCs w:val="20"/>
                <w:lang w:eastAsia="en-US"/>
              </w:rPr>
            </m:ctrlPr>
          </m:radPr>
          <m:deg/>
          <m:e>
            <m:r>
              <w:rPr>
                <w:rFonts w:ascii="Cambria Math" w:eastAsia="Calibri" w:hAnsi="Cambria Math"/>
                <w:sz w:val="20"/>
                <w:szCs w:val="20"/>
                <w:lang w:eastAsia="en-US"/>
              </w:rPr>
              <m:t>2</m:t>
            </m:r>
          </m:e>
        </m:rad>
        <m:r>
          <w:rPr>
            <w:rFonts w:ascii="Cambria Math" w:eastAsia="Calibri" w:hAnsi="Cambria Math"/>
            <w:sz w:val="20"/>
            <w:szCs w:val="20"/>
            <w:lang w:eastAsia="en-US"/>
          </w:rPr>
          <m:t>∙</m:t>
        </m:r>
        <m:d>
          <m:dPr>
            <m:ctrlPr>
              <w:rPr>
                <w:rFonts w:ascii="Cambria Math" w:eastAsia="Calibri" w:hAnsi="Cambria Math"/>
                <w:i/>
                <w:sz w:val="20"/>
                <w:szCs w:val="20"/>
                <w:lang w:eastAsia="en-US"/>
              </w:rPr>
            </m:ctrlPr>
          </m:dPr>
          <m:e>
            <m:r>
              <w:rPr>
                <w:rFonts w:ascii="Cambria Math" w:eastAsia="Calibri" w:hAnsi="Cambria Math"/>
                <w:sz w:val="20"/>
                <w:szCs w:val="20"/>
                <w:lang w:eastAsia="en-US"/>
              </w:rPr>
              <m:t>480÷570</m:t>
            </m:r>
          </m:e>
        </m:d>
        <m:r>
          <w:rPr>
            <w:rFonts w:ascii="Cambria Math" w:eastAsia="Calibri" w:hAnsi="Cambria Math"/>
            <w:sz w:val="20"/>
            <w:szCs w:val="20"/>
            <w:lang w:eastAsia="en-US"/>
          </w:rPr>
          <m:t>≅(1307÷1434)А</m:t>
        </m:r>
      </m:oMath>
      <w:r w:rsidRPr="00997816">
        <w:rPr>
          <w:rFonts w:eastAsia="Calibri"/>
          <w:sz w:val="20"/>
          <w:szCs w:val="20"/>
          <w:lang w:eastAsia="en-US"/>
        </w:rPr>
        <w:t>.</w:t>
      </w:r>
      <w:r w:rsidR="0004569F" w:rsidRPr="00997816">
        <w:rPr>
          <w:rFonts w:eastAsia="Calibri"/>
          <w:sz w:val="20"/>
          <w:szCs w:val="20"/>
          <w:lang w:eastAsia="en-US"/>
        </w:rPr>
        <w:t xml:space="preserve"> </w:t>
      </w:r>
    </w:p>
    <w:p w14:paraId="7B8E611A" w14:textId="09B0D9CF" w:rsidR="00B079E9" w:rsidRDefault="00B079E9" w:rsidP="00280B36">
      <w:pPr>
        <w:ind w:firstLine="142"/>
        <w:jc w:val="both"/>
        <w:rPr>
          <w:sz w:val="20"/>
          <w:szCs w:val="20"/>
          <w:lang w:eastAsia="zh-CN"/>
        </w:rPr>
      </w:pPr>
      <w:r w:rsidRPr="00997816">
        <w:rPr>
          <w:sz w:val="20"/>
          <w:szCs w:val="20"/>
          <w:lang w:eastAsia="zh-CN"/>
        </w:rPr>
        <w:t xml:space="preserve">В качестве примера в таблице 2 представлены основные параметры измерительного преобразователя тока типа </w:t>
      </w:r>
      <w:proofErr w:type="spellStart"/>
      <w:r w:rsidRPr="00997816">
        <w:rPr>
          <w:sz w:val="20"/>
          <w:szCs w:val="20"/>
          <w:lang w:val="en-US" w:eastAsia="zh-CN"/>
        </w:rPr>
        <w:t>SZ</w:t>
      </w:r>
      <w:proofErr w:type="spellEnd"/>
      <w:r w:rsidRPr="00997816">
        <w:rPr>
          <w:sz w:val="20"/>
          <w:szCs w:val="20"/>
          <w:lang w:eastAsia="zh-CN"/>
        </w:rPr>
        <w:t>9</w:t>
      </w:r>
      <w:r w:rsidRPr="00997816">
        <w:rPr>
          <w:sz w:val="20"/>
          <w:szCs w:val="20"/>
          <w:lang w:val="en-US" w:eastAsia="zh-CN"/>
        </w:rPr>
        <w:t>HA</w:t>
      </w:r>
      <w:r w:rsidRPr="00997816">
        <w:rPr>
          <w:sz w:val="20"/>
          <w:szCs w:val="20"/>
          <w:lang w:eastAsia="zh-CN"/>
        </w:rPr>
        <w:t>-800</w:t>
      </w:r>
      <w:r w:rsidR="00280B36" w:rsidRPr="00997816">
        <w:rPr>
          <w:sz w:val="20"/>
          <w:szCs w:val="20"/>
          <w:lang w:eastAsia="zh-CN"/>
        </w:rPr>
        <w:t xml:space="preserve"> производства ООО «</w:t>
      </w:r>
      <w:proofErr w:type="spellStart"/>
      <w:r w:rsidR="00280B36" w:rsidRPr="00997816">
        <w:rPr>
          <w:sz w:val="20"/>
          <w:szCs w:val="20"/>
          <w:lang w:eastAsia="zh-CN"/>
        </w:rPr>
        <w:t>ТВЕЛЕМ</w:t>
      </w:r>
      <w:proofErr w:type="spellEnd"/>
      <w:r w:rsidR="00280B36" w:rsidRPr="00997816">
        <w:rPr>
          <w:sz w:val="20"/>
          <w:szCs w:val="20"/>
          <w:lang w:eastAsia="zh-CN"/>
        </w:rPr>
        <w:t>»</w:t>
      </w:r>
      <w:r w:rsidRPr="00997816">
        <w:rPr>
          <w:sz w:val="20"/>
          <w:szCs w:val="20"/>
          <w:lang w:eastAsia="zh-CN"/>
        </w:rPr>
        <w:t xml:space="preserve">, предел преобразования которого удовлетворяет полученным выше значениям амплитуды суммарного тока нейтрали </w:t>
      </w:r>
      <w:r w:rsidRPr="00997816">
        <w:rPr>
          <w:color w:val="000000"/>
          <w:kern w:val="2"/>
          <w:sz w:val="20"/>
          <w:szCs w:val="20"/>
        </w:rPr>
        <w:t>[</w:t>
      </w:r>
      <w:r w:rsidR="002F4403" w:rsidRPr="00997816">
        <w:rPr>
          <w:color w:val="000000"/>
          <w:kern w:val="2"/>
          <w:sz w:val="20"/>
          <w:szCs w:val="20"/>
        </w:rPr>
        <w:t>7</w:t>
      </w:r>
      <w:r w:rsidRPr="00997816">
        <w:rPr>
          <w:color w:val="000000"/>
          <w:kern w:val="2"/>
          <w:sz w:val="20"/>
          <w:szCs w:val="20"/>
        </w:rPr>
        <w:t>]</w:t>
      </w:r>
      <w:r w:rsidRPr="00997816">
        <w:rPr>
          <w:sz w:val="20"/>
          <w:szCs w:val="20"/>
          <w:lang w:eastAsia="zh-CN"/>
        </w:rPr>
        <w:t>.</w:t>
      </w:r>
    </w:p>
    <w:p w14:paraId="0FFE8636" w14:textId="77777777" w:rsidR="00820CAE" w:rsidRDefault="00820CAE" w:rsidP="00820CAE">
      <w:pPr>
        <w:ind w:firstLine="142"/>
        <w:jc w:val="both"/>
        <w:rPr>
          <w:rFonts w:eastAsia="Calibri"/>
          <w:sz w:val="20"/>
          <w:szCs w:val="20"/>
          <w:lang w:eastAsia="en-US"/>
        </w:rPr>
      </w:pPr>
      <w:r w:rsidRPr="00AF408F">
        <w:rPr>
          <w:rFonts w:eastAsia="Calibri"/>
          <w:sz w:val="20"/>
          <w:szCs w:val="20"/>
          <w:lang w:eastAsia="en-US"/>
        </w:rPr>
        <w:t>Аналогичным образом можно получить предельную оценку амплитуды суммарного тока в нейтрали силового трансформатора при любых других значениях номинальной мощности с учетом собственных параметров примыкающих ВЛ, качества электроэнергии в узле подключения силового трансформатора, интенсивности геомагнитных возмущений. С учетом полученного значения амплитуды суммарного тока в нейтрали силового трансформатора необходимо выбирать измерительный преобразователь с соответствующим пределом преобразования силы тока.</w:t>
      </w:r>
    </w:p>
    <w:p w14:paraId="16100D68" w14:textId="77777777" w:rsidR="007C31F4" w:rsidRPr="00AF408F" w:rsidRDefault="007C31F4" w:rsidP="00820CAE">
      <w:pPr>
        <w:ind w:firstLine="142"/>
        <w:jc w:val="both"/>
        <w:rPr>
          <w:rFonts w:eastAsia="Calibri"/>
          <w:sz w:val="20"/>
          <w:szCs w:val="20"/>
          <w:lang w:eastAsia="en-US"/>
        </w:rPr>
      </w:pPr>
    </w:p>
    <w:p w14:paraId="20300FC5" w14:textId="7C665D35" w:rsidR="00B079E9" w:rsidRDefault="00B079E9" w:rsidP="00280B36">
      <w:pPr>
        <w:ind w:firstLine="142"/>
        <w:jc w:val="both"/>
        <w:rPr>
          <w:sz w:val="20"/>
          <w:szCs w:val="20"/>
          <w:lang w:eastAsia="en-US"/>
        </w:rPr>
      </w:pPr>
      <w:r w:rsidRPr="00280B36">
        <w:rPr>
          <w:b/>
          <w:bCs/>
          <w:color w:val="000000"/>
          <w:kern w:val="2"/>
          <w:sz w:val="20"/>
          <w:szCs w:val="20"/>
        </w:rPr>
        <w:t>Таблица 2</w:t>
      </w:r>
      <w:r w:rsidR="00280B36" w:rsidRPr="00280B36">
        <w:rPr>
          <w:b/>
          <w:bCs/>
          <w:color w:val="000000"/>
          <w:kern w:val="2"/>
          <w:sz w:val="20"/>
          <w:szCs w:val="20"/>
        </w:rPr>
        <w:t>.</w:t>
      </w:r>
      <w:r w:rsidRPr="00B079E9">
        <w:rPr>
          <w:color w:val="000000"/>
          <w:kern w:val="2"/>
          <w:sz w:val="20"/>
          <w:szCs w:val="20"/>
        </w:rPr>
        <w:t xml:space="preserve"> Основные характеристики измерительного преобразователя тока прямого усиления</w:t>
      </w:r>
      <w:r w:rsidRPr="00B079E9">
        <w:rPr>
          <w:sz w:val="20"/>
          <w:szCs w:val="20"/>
          <w:lang w:eastAsia="en-US"/>
        </w:rPr>
        <w:t xml:space="preserve"> </w:t>
      </w:r>
      <w:r w:rsidRPr="00B079E9">
        <w:rPr>
          <w:sz w:val="20"/>
          <w:szCs w:val="20"/>
          <w:lang w:val="en-US" w:eastAsia="en-US"/>
        </w:rPr>
        <w:t>S</w:t>
      </w:r>
      <w:proofErr w:type="spellStart"/>
      <w:r w:rsidRPr="00B079E9">
        <w:rPr>
          <w:sz w:val="20"/>
          <w:szCs w:val="20"/>
          <w:lang w:eastAsia="en-US"/>
        </w:rPr>
        <w:t>Z9</w:t>
      </w:r>
      <w:proofErr w:type="spellEnd"/>
      <w:r w:rsidRPr="00B079E9">
        <w:rPr>
          <w:sz w:val="20"/>
          <w:szCs w:val="20"/>
          <w:lang w:val="en-US" w:eastAsia="en-US"/>
        </w:rPr>
        <w:t>HA</w:t>
      </w:r>
      <w:r w:rsidRPr="00B079E9">
        <w:rPr>
          <w:sz w:val="20"/>
          <w:szCs w:val="20"/>
          <w:lang w:eastAsia="en-US"/>
        </w:rPr>
        <w:t>-800</w:t>
      </w:r>
    </w:p>
    <w:tbl>
      <w:tblPr>
        <w:tblW w:w="9351" w:type="dxa"/>
        <w:jc w:val="center"/>
        <w:tblLayout w:type="fixed"/>
        <w:tblLook w:val="0000" w:firstRow="0" w:lastRow="0" w:firstColumn="0" w:lastColumn="0" w:noHBand="0" w:noVBand="0"/>
      </w:tblPr>
      <w:tblGrid>
        <w:gridCol w:w="5949"/>
        <w:gridCol w:w="3402"/>
      </w:tblGrid>
      <w:tr w:rsidR="00B079E9" w:rsidRPr="00B079E9" w14:paraId="18290FCA" w14:textId="77777777" w:rsidTr="009769C1">
        <w:trPr>
          <w:cantSplit/>
          <w:jc w:val="center"/>
        </w:trPr>
        <w:tc>
          <w:tcPr>
            <w:tcW w:w="5949" w:type="dxa"/>
            <w:tcBorders>
              <w:top w:val="single" w:sz="4" w:space="0" w:color="000000"/>
              <w:left w:val="single" w:sz="4" w:space="0" w:color="000000"/>
              <w:bottom w:val="single" w:sz="4" w:space="0" w:color="000000"/>
            </w:tcBorders>
            <w:shd w:val="clear" w:color="auto" w:fill="auto"/>
          </w:tcPr>
          <w:p w14:paraId="6ED9ACA4" w14:textId="77777777" w:rsidR="00B079E9" w:rsidRPr="00B079E9" w:rsidRDefault="00B079E9" w:rsidP="00AF408F">
            <w:pPr>
              <w:jc w:val="center"/>
              <w:rPr>
                <w:sz w:val="20"/>
                <w:szCs w:val="20"/>
                <w:lang w:eastAsia="zh-CN"/>
              </w:rPr>
            </w:pPr>
            <w:r w:rsidRPr="00B079E9">
              <w:rPr>
                <w:sz w:val="20"/>
                <w:szCs w:val="20"/>
                <w:lang w:eastAsia="zh-CN"/>
              </w:rPr>
              <w:t xml:space="preserve">Первичный ток, </w:t>
            </w:r>
            <w:proofErr w:type="gramStart"/>
            <w:r w:rsidRPr="00B079E9">
              <w:rPr>
                <w:sz w:val="20"/>
                <w:szCs w:val="20"/>
                <w:lang w:eastAsia="zh-CN"/>
              </w:rPr>
              <w:t>А</w:t>
            </w:r>
            <w:proofErr w:type="gramEnd"/>
            <w:r w:rsidRPr="00B079E9">
              <w:rPr>
                <w:sz w:val="20"/>
                <w:szCs w:val="20"/>
                <w:lang w:eastAsia="zh-CN"/>
              </w:rPr>
              <w:t>(</w:t>
            </w:r>
            <w:proofErr w:type="spellStart"/>
            <w:r w:rsidRPr="00B079E9">
              <w:rPr>
                <w:sz w:val="20"/>
                <w:szCs w:val="20"/>
                <w:lang w:eastAsia="zh-CN"/>
              </w:rPr>
              <w:t>эфф</w:t>
            </w:r>
            <w:proofErr w:type="spellEnd"/>
            <w:r w:rsidRPr="00B079E9">
              <w:rPr>
                <w:sz w:val="20"/>
                <w:szCs w:val="20"/>
                <w:lang w:eastAsia="zh-CN"/>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C0F2A2" w14:textId="77777777" w:rsidR="00B079E9" w:rsidRPr="00B079E9" w:rsidRDefault="00B079E9" w:rsidP="00AF408F">
            <w:pPr>
              <w:jc w:val="center"/>
              <w:rPr>
                <w:sz w:val="20"/>
                <w:szCs w:val="20"/>
                <w:lang w:eastAsia="zh-CN"/>
              </w:rPr>
            </w:pPr>
            <w:r w:rsidRPr="00B079E9">
              <w:rPr>
                <w:sz w:val="20"/>
                <w:szCs w:val="20"/>
                <w:lang w:eastAsia="zh-CN"/>
              </w:rPr>
              <w:t>800</w:t>
            </w:r>
          </w:p>
        </w:tc>
      </w:tr>
      <w:tr w:rsidR="00B079E9" w:rsidRPr="00B079E9" w14:paraId="5B7D06EB" w14:textId="77777777" w:rsidTr="009769C1">
        <w:trPr>
          <w:cantSplit/>
          <w:jc w:val="center"/>
        </w:trPr>
        <w:tc>
          <w:tcPr>
            <w:tcW w:w="5949" w:type="dxa"/>
            <w:tcBorders>
              <w:top w:val="single" w:sz="4" w:space="0" w:color="000000"/>
              <w:left w:val="single" w:sz="4" w:space="0" w:color="000000"/>
              <w:bottom w:val="single" w:sz="4" w:space="0" w:color="000000"/>
            </w:tcBorders>
            <w:shd w:val="clear" w:color="auto" w:fill="auto"/>
          </w:tcPr>
          <w:p w14:paraId="7A4F712D" w14:textId="77777777" w:rsidR="00B079E9" w:rsidRPr="00B079E9" w:rsidRDefault="00B079E9" w:rsidP="00AF408F">
            <w:pPr>
              <w:jc w:val="center"/>
              <w:rPr>
                <w:sz w:val="20"/>
                <w:szCs w:val="20"/>
                <w:lang w:eastAsia="zh-CN"/>
              </w:rPr>
            </w:pPr>
            <w:r w:rsidRPr="00B079E9">
              <w:rPr>
                <w:sz w:val="20"/>
                <w:szCs w:val="20"/>
                <w:lang w:eastAsia="zh-CN"/>
              </w:rPr>
              <w:t>Диапазон преобразования, 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4B5BF69" w14:textId="77777777" w:rsidR="00B079E9" w:rsidRPr="00B079E9" w:rsidRDefault="00B079E9" w:rsidP="00AF408F">
            <w:pPr>
              <w:jc w:val="center"/>
              <w:rPr>
                <w:sz w:val="20"/>
                <w:szCs w:val="20"/>
                <w:lang w:eastAsia="zh-CN"/>
              </w:rPr>
            </w:pPr>
            <w:r w:rsidRPr="00B079E9">
              <w:rPr>
                <w:sz w:val="20"/>
                <w:szCs w:val="20"/>
                <w:lang w:eastAsia="zh-CN"/>
              </w:rPr>
              <w:t>± 2400</w:t>
            </w:r>
          </w:p>
        </w:tc>
      </w:tr>
      <w:tr w:rsidR="00B079E9" w:rsidRPr="00B079E9" w14:paraId="2F493E3D" w14:textId="77777777" w:rsidTr="009769C1">
        <w:trPr>
          <w:cantSplit/>
          <w:jc w:val="center"/>
        </w:trPr>
        <w:tc>
          <w:tcPr>
            <w:tcW w:w="5949" w:type="dxa"/>
            <w:tcBorders>
              <w:top w:val="single" w:sz="4" w:space="0" w:color="000000"/>
              <w:left w:val="single" w:sz="4" w:space="0" w:color="000000"/>
              <w:bottom w:val="single" w:sz="4" w:space="0" w:color="000000"/>
            </w:tcBorders>
            <w:shd w:val="clear" w:color="auto" w:fill="auto"/>
          </w:tcPr>
          <w:p w14:paraId="667F5529" w14:textId="77777777" w:rsidR="00B079E9" w:rsidRPr="00B079E9" w:rsidRDefault="00B079E9" w:rsidP="00AF408F">
            <w:pPr>
              <w:jc w:val="center"/>
              <w:rPr>
                <w:sz w:val="20"/>
                <w:szCs w:val="20"/>
                <w:lang w:eastAsia="zh-CN"/>
              </w:rPr>
            </w:pPr>
            <w:r w:rsidRPr="00B079E9">
              <w:rPr>
                <w:sz w:val="20"/>
                <w:szCs w:val="20"/>
                <w:lang w:eastAsia="zh-CN"/>
              </w:rPr>
              <w:t xml:space="preserve">Допустимая перегрузка, </w:t>
            </w:r>
            <w:proofErr w:type="spellStart"/>
            <w:r w:rsidRPr="00B079E9">
              <w:rPr>
                <w:sz w:val="20"/>
                <w:szCs w:val="20"/>
                <w:lang w:eastAsia="zh-CN"/>
              </w:rPr>
              <w:t>А</w:t>
            </w:r>
            <w:r w:rsidRPr="00B079E9">
              <w:rPr>
                <w:rFonts w:ascii="Cambria Math" w:hAnsi="Cambria Math"/>
                <w:sz w:val="20"/>
                <w:szCs w:val="20"/>
                <w:lang w:eastAsia="zh-CN"/>
              </w:rPr>
              <w:t>⋅</w:t>
            </w:r>
            <w:r w:rsidRPr="00B079E9">
              <w:rPr>
                <w:sz w:val="20"/>
                <w:szCs w:val="20"/>
                <w:lang w:eastAsia="zh-CN"/>
              </w:rPr>
              <w:t>вит</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DF30666" w14:textId="77777777" w:rsidR="00B079E9" w:rsidRPr="00B079E9" w:rsidRDefault="00B079E9" w:rsidP="00AF408F">
            <w:pPr>
              <w:jc w:val="center"/>
              <w:rPr>
                <w:sz w:val="20"/>
                <w:szCs w:val="20"/>
                <w:lang w:eastAsia="zh-CN"/>
              </w:rPr>
            </w:pPr>
            <w:r w:rsidRPr="00B079E9">
              <w:rPr>
                <w:sz w:val="20"/>
                <w:szCs w:val="20"/>
                <w:lang w:eastAsia="zh-CN"/>
              </w:rPr>
              <w:t>30000</w:t>
            </w:r>
          </w:p>
        </w:tc>
      </w:tr>
      <w:tr w:rsidR="00B079E9" w:rsidRPr="00B079E9" w14:paraId="3D53B596" w14:textId="77777777" w:rsidTr="009769C1">
        <w:trPr>
          <w:cantSplit/>
          <w:jc w:val="center"/>
        </w:trPr>
        <w:tc>
          <w:tcPr>
            <w:tcW w:w="5949" w:type="dxa"/>
            <w:tcBorders>
              <w:top w:val="single" w:sz="4" w:space="0" w:color="000000"/>
              <w:left w:val="single" w:sz="4" w:space="0" w:color="000000"/>
              <w:bottom w:val="single" w:sz="4" w:space="0" w:color="000000"/>
            </w:tcBorders>
            <w:shd w:val="clear" w:color="auto" w:fill="auto"/>
          </w:tcPr>
          <w:p w14:paraId="27E57311" w14:textId="77777777" w:rsidR="00B079E9" w:rsidRPr="00B079E9" w:rsidRDefault="00B079E9" w:rsidP="00AF408F">
            <w:pPr>
              <w:jc w:val="center"/>
              <w:rPr>
                <w:sz w:val="20"/>
                <w:szCs w:val="20"/>
                <w:lang w:eastAsia="zh-CN"/>
              </w:rPr>
            </w:pPr>
            <w:r w:rsidRPr="00B079E9">
              <w:rPr>
                <w:sz w:val="20"/>
                <w:szCs w:val="20"/>
                <w:lang w:eastAsia="zh-CN"/>
              </w:rPr>
              <w:t>Выходное напряжение, 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7C22E7" w14:textId="77777777" w:rsidR="00B079E9" w:rsidRPr="00B079E9" w:rsidRDefault="00B079E9" w:rsidP="00AF408F">
            <w:pPr>
              <w:ind w:firstLine="37"/>
              <w:jc w:val="center"/>
              <w:rPr>
                <w:sz w:val="20"/>
                <w:szCs w:val="20"/>
                <w:lang w:eastAsia="zh-CN"/>
              </w:rPr>
            </w:pPr>
            <w:r w:rsidRPr="00B079E9">
              <w:rPr>
                <w:sz w:val="20"/>
                <w:szCs w:val="20"/>
                <w:lang w:eastAsia="zh-CN"/>
              </w:rPr>
              <w:t>4,0 ± 0,04</w:t>
            </w:r>
          </w:p>
        </w:tc>
      </w:tr>
      <w:tr w:rsidR="00B079E9" w:rsidRPr="00B079E9" w14:paraId="27801827" w14:textId="77777777" w:rsidTr="009769C1">
        <w:trPr>
          <w:cantSplit/>
          <w:jc w:val="center"/>
        </w:trPr>
        <w:tc>
          <w:tcPr>
            <w:tcW w:w="5949" w:type="dxa"/>
            <w:tcBorders>
              <w:top w:val="single" w:sz="4" w:space="0" w:color="000000"/>
              <w:left w:val="single" w:sz="4" w:space="0" w:color="000000"/>
              <w:bottom w:val="single" w:sz="4" w:space="0" w:color="000000"/>
            </w:tcBorders>
            <w:shd w:val="clear" w:color="auto" w:fill="auto"/>
          </w:tcPr>
          <w:p w14:paraId="4F6A01C6" w14:textId="77777777" w:rsidR="00B079E9" w:rsidRPr="00B079E9" w:rsidRDefault="00B079E9" w:rsidP="00AF408F">
            <w:pPr>
              <w:jc w:val="center"/>
              <w:rPr>
                <w:sz w:val="20"/>
                <w:szCs w:val="20"/>
                <w:lang w:eastAsia="zh-CN"/>
              </w:rPr>
            </w:pPr>
            <w:r w:rsidRPr="00B079E9">
              <w:rPr>
                <w:sz w:val="20"/>
                <w:szCs w:val="20"/>
                <w:lang w:eastAsia="zh-CN"/>
              </w:rPr>
              <w:t>Электрическая прочность изоляции, В (50 Гц, 1 мин)</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0D2F14E" w14:textId="77777777" w:rsidR="00B079E9" w:rsidRPr="00B079E9" w:rsidRDefault="00B079E9" w:rsidP="00AF408F">
            <w:pPr>
              <w:ind w:firstLine="37"/>
              <w:jc w:val="center"/>
              <w:rPr>
                <w:sz w:val="20"/>
                <w:szCs w:val="20"/>
                <w:lang w:eastAsia="zh-CN"/>
              </w:rPr>
            </w:pPr>
            <w:r w:rsidRPr="00B079E9">
              <w:rPr>
                <w:sz w:val="20"/>
                <w:szCs w:val="20"/>
                <w:lang w:eastAsia="zh-CN"/>
              </w:rPr>
              <w:t>1500</w:t>
            </w:r>
          </w:p>
        </w:tc>
      </w:tr>
      <w:tr w:rsidR="00B079E9" w:rsidRPr="00B079E9" w14:paraId="0EBFEA45" w14:textId="77777777" w:rsidTr="009769C1">
        <w:trPr>
          <w:cantSplit/>
          <w:jc w:val="center"/>
        </w:trPr>
        <w:tc>
          <w:tcPr>
            <w:tcW w:w="5949" w:type="dxa"/>
            <w:tcBorders>
              <w:top w:val="single" w:sz="4" w:space="0" w:color="000000"/>
              <w:left w:val="single" w:sz="4" w:space="0" w:color="000000"/>
              <w:bottom w:val="single" w:sz="4" w:space="0" w:color="000000"/>
            </w:tcBorders>
            <w:shd w:val="clear" w:color="auto" w:fill="auto"/>
          </w:tcPr>
          <w:p w14:paraId="782B4956" w14:textId="77777777" w:rsidR="00B079E9" w:rsidRPr="00B079E9" w:rsidRDefault="00B079E9" w:rsidP="00AF408F">
            <w:pPr>
              <w:jc w:val="center"/>
              <w:rPr>
                <w:sz w:val="20"/>
                <w:szCs w:val="20"/>
                <w:lang w:eastAsia="zh-CN"/>
              </w:rPr>
            </w:pPr>
            <w:r w:rsidRPr="00B079E9">
              <w:rPr>
                <w:sz w:val="20"/>
                <w:szCs w:val="20"/>
                <w:lang w:eastAsia="zh-CN"/>
              </w:rPr>
              <w:t>Точность преобразования,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A958C9" w14:textId="77777777" w:rsidR="00B079E9" w:rsidRPr="00B079E9" w:rsidRDefault="00B079E9" w:rsidP="00AF408F">
            <w:pPr>
              <w:ind w:firstLine="37"/>
              <w:jc w:val="center"/>
              <w:rPr>
                <w:sz w:val="20"/>
                <w:szCs w:val="20"/>
                <w:lang w:val="en-US" w:eastAsia="zh-CN"/>
              </w:rPr>
            </w:pPr>
            <w:r w:rsidRPr="00B079E9">
              <w:rPr>
                <w:sz w:val="20"/>
                <w:szCs w:val="20"/>
                <w:lang w:val="en-US" w:eastAsia="zh-CN"/>
              </w:rPr>
              <w:t>&lt; ± 1,0</w:t>
            </w:r>
          </w:p>
        </w:tc>
      </w:tr>
      <w:tr w:rsidR="00B079E9" w:rsidRPr="00B079E9" w14:paraId="47313E21" w14:textId="77777777" w:rsidTr="009769C1">
        <w:trPr>
          <w:cantSplit/>
          <w:jc w:val="center"/>
        </w:trPr>
        <w:tc>
          <w:tcPr>
            <w:tcW w:w="5949" w:type="dxa"/>
            <w:tcBorders>
              <w:top w:val="single" w:sz="4" w:space="0" w:color="000000"/>
              <w:left w:val="single" w:sz="4" w:space="0" w:color="000000"/>
              <w:bottom w:val="single" w:sz="4" w:space="0" w:color="000000"/>
            </w:tcBorders>
            <w:shd w:val="clear" w:color="auto" w:fill="auto"/>
          </w:tcPr>
          <w:p w14:paraId="738B04F9" w14:textId="77777777" w:rsidR="00B079E9" w:rsidRPr="00B079E9" w:rsidRDefault="00B079E9" w:rsidP="00AF408F">
            <w:pPr>
              <w:jc w:val="center"/>
              <w:rPr>
                <w:sz w:val="20"/>
                <w:szCs w:val="20"/>
                <w:lang w:eastAsia="zh-CN"/>
              </w:rPr>
            </w:pPr>
            <w:r w:rsidRPr="00B079E9">
              <w:rPr>
                <w:sz w:val="20"/>
                <w:szCs w:val="20"/>
                <w:lang w:eastAsia="zh-CN"/>
              </w:rPr>
              <w:t>Нелинейность преобразования,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74AAF3B" w14:textId="77777777" w:rsidR="00B079E9" w:rsidRPr="00B079E9" w:rsidRDefault="00B079E9" w:rsidP="00AF408F">
            <w:pPr>
              <w:ind w:firstLine="37"/>
              <w:jc w:val="center"/>
              <w:rPr>
                <w:sz w:val="20"/>
                <w:szCs w:val="20"/>
                <w:lang w:eastAsia="zh-CN"/>
              </w:rPr>
            </w:pPr>
            <w:r w:rsidRPr="00B079E9">
              <w:rPr>
                <w:sz w:val="20"/>
                <w:szCs w:val="20"/>
                <w:lang w:val="en-US" w:eastAsia="zh-CN"/>
              </w:rPr>
              <w:t>&lt; ± 1,0</w:t>
            </w:r>
          </w:p>
        </w:tc>
      </w:tr>
      <w:tr w:rsidR="00B079E9" w:rsidRPr="00B079E9" w14:paraId="36BA9057" w14:textId="77777777" w:rsidTr="009769C1">
        <w:trPr>
          <w:cantSplit/>
          <w:jc w:val="center"/>
        </w:trPr>
        <w:tc>
          <w:tcPr>
            <w:tcW w:w="5949" w:type="dxa"/>
            <w:tcBorders>
              <w:top w:val="single" w:sz="4" w:space="0" w:color="000000"/>
              <w:left w:val="single" w:sz="4" w:space="0" w:color="000000"/>
              <w:bottom w:val="single" w:sz="4" w:space="0" w:color="000000"/>
            </w:tcBorders>
            <w:shd w:val="clear" w:color="auto" w:fill="auto"/>
          </w:tcPr>
          <w:p w14:paraId="47294DB5" w14:textId="77777777" w:rsidR="00B079E9" w:rsidRPr="00B079E9" w:rsidRDefault="00B079E9" w:rsidP="00AF408F">
            <w:pPr>
              <w:jc w:val="center"/>
              <w:rPr>
                <w:sz w:val="20"/>
                <w:szCs w:val="20"/>
                <w:lang w:eastAsia="zh-CN"/>
              </w:rPr>
            </w:pPr>
            <w:r w:rsidRPr="00B079E9">
              <w:rPr>
                <w:sz w:val="20"/>
                <w:szCs w:val="20"/>
                <w:lang w:eastAsia="zh-CN"/>
              </w:rPr>
              <w:t>Частотный диапазон, кГц (-3дБ)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96EACE" w14:textId="77777777" w:rsidR="00B079E9" w:rsidRPr="00B079E9" w:rsidRDefault="00B079E9" w:rsidP="00AF408F">
            <w:pPr>
              <w:jc w:val="center"/>
              <w:rPr>
                <w:sz w:val="20"/>
                <w:szCs w:val="20"/>
                <w:lang w:eastAsia="zh-CN"/>
              </w:rPr>
            </w:pPr>
            <w:r w:rsidRPr="00B079E9">
              <w:rPr>
                <w:sz w:val="20"/>
                <w:szCs w:val="20"/>
                <w:lang w:eastAsia="zh-CN"/>
              </w:rPr>
              <w:t>0…25</w:t>
            </w:r>
          </w:p>
        </w:tc>
      </w:tr>
      <w:tr w:rsidR="00B079E9" w:rsidRPr="00B079E9" w14:paraId="7AD4066A" w14:textId="77777777" w:rsidTr="009769C1">
        <w:trPr>
          <w:cantSplit/>
          <w:jc w:val="center"/>
        </w:trPr>
        <w:tc>
          <w:tcPr>
            <w:tcW w:w="5949" w:type="dxa"/>
            <w:tcBorders>
              <w:top w:val="single" w:sz="4" w:space="0" w:color="000000"/>
              <w:left w:val="single" w:sz="4" w:space="0" w:color="000000"/>
              <w:bottom w:val="single" w:sz="4" w:space="0" w:color="000000"/>
            </w:tcBorders>
            <w:shd w:val="clear" w:color="auto" w:fill="auto"/>
          </w:tcPr>
          <w:p w14:paraId="2E403997" w14:textId="77777777" w:rsidR="00B079E9" w:rsidRPr="00B079E9" w:rsidRDefault="00B079E9" w:rsidP="00AF408F">
            <w:pPr>
              <w:jc w:val="center"/>
              <w:rPr>
                <w:sz w:val="20"/>
                <w:szCs w:val="20"/>
                <w:lang w:eastAsia="zh-CN"/>
              </w:rPr>
            </w:pPr>
            <w:r w:rsidRPr="00B079E9">
              <w:rPr>
                <w:sz w:val="20"/>
                <w:szCs w:val="20"/>
                <w:lang w:eastAsia="zh-CN"/>
              </w:rPr>
              <w:t>Рабочая температура, ºС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EE237B" w14:textId="77777777" w:rsidR="00B079E9" w:rsidRPr="00B079E9" w:rsidRDefault="00B079E9" w:rsidP="00AF408F">
            <w:pPr>
              <w:jc w:val="center"/>
              <w:rPr>
                <w:sz w:val="20"/>
                <w:szCs w:val="20"/>
                <w:lang w:eastAsia="zh-CN"/>
              </w:rPr>
            </w:pPr>
            <w:r w:rsidRPr="00B079E9">
              <w:rPr>
                <w:sz w:val="20"/>
                <w:szCs w:val="20"/>
                <w:lang w:eastAsia="zh-CN"/>
              </w:rPr>
              <w:t>-40…+85</w:t>
            </w:r>
          </w:p>
        </w:tc>
      </w:tr>
    </w:tbl>
    <w:p w14:paraId="1E1BFED4" w14:textId="77777777" w:rsidR="00280B36" w:rsidRDefault="00280B36" w:rsidP="00280B36">
      <w:pPr>
        <w:ind w:firstLine="142"/>
        <w:jc w:val="both"/>
        <w:rPr>
          <w:b/>
          <w:color w:val="000000"/>
          <w:kern w:val="2"/>
          <w:sz w:val="20"/>
          <w:szCs w:val="20"/>
        </w:rPr>
      </w:pPr>
    </w:p>
    <w:p w14:paraId="0E4AF1C0" w14:textId="2D39D137" w:rsidR="00AF408F" w:rsidRPr="00AF408F" w:rsidRDefault="00280B36" w:rsidP="00280B36">
      <w:pPr>
        <w:ind w:firstLine="142"/>
        <w:jc w:val="both"/>
        <w:rPr>
          <w:noProof/>
          <w:sz w:val="20"/>
          <w:szCs w:val="20"/>
        </w:rPr>
      </w:pPr>
      <w:r>
        <w:rPr>
          <w:b/>
          <w:color w:val="000000"/>
          <w:kern w:val="2"/>
          <w:sz w:val="20"/>
          <w:szCs w:val="20"/>
        </w:rPr>
        <w:t>Заключение</w:t>
      </w:r>
    </w:p>
    <w:p w14:paraId="6C2918A8" w14:textId="40668A4D" w:rsidR="00AF408F" w:rsidRPr="00AF408F" w:rsidRDefault="00AF408F" w:rsidP="00280B36">
      <w:pPr>
        <w:ind w:firstLine="142"/>
        <w:jc w:val="both"/>
        <w:rPr>
          <w:noProof/>
          <w:sz w:val="20"/>
          <w:szCs w:val="20"/>
        </w:rPr>
      </w:pPr>
      <w:r w:rsidRPr="00AF408F">
        <w:rPr>
          <w:noProof/>
          <w:sz w:val="20"/>
          <w:szCs w:val="20"/>
        </w:rPr>
        <w:t xml:space="preserve">Для прогнозирования дефицита реактивной мощности и принятия адекватных диспетчерских решений по предотвращению недопустимых снижений напряжения в узлах электрической сети при </w:t>
      </w:r>
      <w:r>
        <w:rPr>
          <w:noProof/>
          <w:sz w:val="20"/>
          <w:szCs w:val="20"/>
        </w:rPr>
        <w:t>геомагнитныхбурях</w:t>
      </w:r>
      <w:r w:rsidRPr="00AF408F">
        <w:rPr>
          <w:noProof/>
          <w:sz w:val="20"/>
          <w:szCs w:val="20"/>
        </w:rPr>
        <w:t xml:space="preserve"> необходимо контролировать величину ГИТ в нейтралях трехфазных силовых трансформаторов с бронестержневой магнитной системой и трехфазных групп однофазных силовых трансформаторов с броневой магнитной системой, установленных на узловых и тупиковых подстанциях.</w:t>
      </w:r>
    </w:p>
    <w:p w14:paraId="7FA3D0ED" w14:textId="2B7DAF24" w:rsidR="00AF408F" w:rsidRPr="00AF408F" w:rsidRDefault="00AF408F" w:rsidP="00280B36">
      <w:pPr>
        <w:ind w:firstLine="142"/>
        <w:jc w:val="both"/>
        <w:rPr>
          <w:noProof/>
          <w:sz w:val="20"/>
          <w:szCs w:val="20"/>
        </w:rPr>
      </w:pPr>
      <w:r w:rsidRPr="00AF408F">
        <w:rPr>
          <w:noProof/>
          <w:sz w:val="20"/>
          <w:szCs w:val="20"/>
        </w:rPr>
        <w:t xml:space="preserve">Для мониторинга ГИТ необходимо использовать измерительный преобразователь тока прямого усиления, предел преобразования которого выбирается </w:t>
      </w:r>
      <w:r w:rsidRPr="00AF408F">
        <w:rPr>
          <w:noProof/>
          <w:sz w:val="20"/>
          <w:szCs w:val="20"/>
          <w:lang w:val="en-US"/>
        </w:rPr>
        <w:t>c</w:t>
      </w:r>
      <w:r w:rsidRPr="00AF408F">
        <w:rPr>
          <w:noProof/>
          <w:sz w:val="20"/>
          <w:szCs w:val="20"/>
        </w:rPr>
        <w:t xml:space="preserve"> учетом ожидаемой величины длительно протекающих ГИТ и уровня гармоник нулевой последовательности в составе тока нейтрали. Допустимая перегрузка измерительного преобразователя тока должна допускать возможность протекания токов однофазного короткого замыкания в течение 4÷5 периодов сетевого напряжения, предельная величина которого определяется паспортными параметрами силового трансформатора.</w:t>
      </w:r>
    </w:p>
    <w:p w14:paraId="66104880" w14:textId="77777777" w:rsidR="00280B36" w:rsidRDefault="00280B36" w:rsidP="00AF408F">
      <w:pPr>
        <w:jc w:val="center"/>
        <w:rPr>
          <w:b/>
          <w:sz w:val="20"/>
          <w:szCs w:val="20"/>
        </w:rPr>
      </w:pPr>
    </w:p>
    <w:p w14:paraId="4A930384" w14:textId="330BC84F" w:rsidR="00AF408F" w:rsidRPr="00AF408F" w:rsidRDefault="00AF408F" w:rsidP="00280B36">
      <w:pPr>
        <w:ind w:firstLine="142"/>
        <w:jc w:val="both"/>
        <w:rPr>
          <w:b/>
          <w:sz w:val="20"/>
          <w:szCs w:val="20"/>
          <w:lang w:val="en-US"/>
        </w:rPr>
      </w:pPr>
      <w:r w:rsidRPr="00AF408F">
        <w:rPr>
          <w:b/>
          <w:sz w:val="20"/>
          <w:szCs w:val="20"/>
        </w:rPr>
        <w:t>Список</w:t>
      </w:r>
      <w:r w:rsidRPr="00AF408F">
        <w:rPr>
          <w:b/>
          <w:sz w:val="20"/>
          <w:szCs w:val="20"/>
          <w:lang w:val="en-US"/>
        </w:rPr>
        <w:t xml:space="preserve"> </w:t>
      </w:r>
      <w:r w:rsidRPr="00AF408F">
        <w:rPr>
          <w:b/>
          <w:sz w:val="20"/>
          <w:szCs w:val="20"/>
        </w:rPr>
        <w:t>литературы</w:t>
      </w:r>
    </w:p>
    <w:p w14:paraId="24220C41" w14:textId="647F792E" w:rsidR="00AF408F" w:rsidRPr="009865E8" w:rsidRDefault="00AF408F" w:rsidP="00280B36">
      <w:pPr>
        <w:autoSpaceDE w:val="0"/>
        <w:autoSpaceDN w:val="0"/>
        <w:adjustRightInd w:val="0"/>
        <w:ind w:firstLine="142"/>
        <w:jc w:val="both"/>
        <w:rPr>
          <w:rFonts w:eastAsia="Calibri"/>
          <w:sz w:val="20"/>
          <w:szCs w:val="20"/>
          <w:lang w:val="en-US" w:eastAsia="en-US"/>
        </w:rPr>
      </w:pPr>
      <w:r w:rsidRPr="002F4403">
        <w:rPr>
          <w:rFonts w:eastAsia="Calibri"/>
          <w:sz w:val="20"/>
          <w:szCs w:val="20"/>
          <w:lang w:val="en-US" w:eastAsia="en-US"/>
        </w:rPr>
        <w:t>1</w:t>
      </w:r>
      <w:r w:rsidR="00280B36" w:rsidRPr="00280B36">
        <w:rPr>
          <w:rFonts w:eastAsia="Calibri"/>
          <w:sz w:val="20"/>
          <w:szCs w:val="20"/>
          <w:lang w:val="en-US" w:eastAsia="en-US"/>
        </w:rPr>
        <w:t>.</w:t>
      </w:r>
      <w:r w:rsidRPr="00AF408F">
        <w:rPr>
          <w:rFonts w:eastAsia="Calibri"/>
          <w:sz w:val="20"/>
          <w:szCs w:val="20"/>
          <w:lang w:val="en-US" w:eastAsia="en-US"/>
        </w:rPr>
        <w:t xml:space="preserve"> Kappenman J.G. Geomagnetic storms and their impact on the US power grid. Meta</w:t>
      </w:r>
      <w:r w:rsidRPr="009865E8">
        <w:rPr>
          <w:rFonts w:eastAsia="Calibri"/>
          <w:sz w:val="20"/>
          <w:szCs w:val="20"/>
          <w:lang w:val="en-US" w:eastAsia="en-US"/>
        </w:rPr>
        <w:t>-</w:t>
      </w:r>
      <w:r w:rsidRPr="00AF408F">
        <w:rPr>
          <w:rFonts w:eastAsia="Calibri"/>
          <w:sz w:val="20"/>
          <w:szCs w:val="20"/>
          <w:lang w:val="en-US" w:eastAsia="en-US"/>
        </w:rPr>
        <w:t>R</w:t>
      </w:r>
      <w:r w:rsidRPr="009865E8">
        <w:rPr>
          <w:rFonts w:eastAsia="Calibri"/>
          <w:sz w:val="20"/>
          <w:szCs w:val="20"/>
          <w:lang w:val="en-US" w:eastAsia="en-US"/>
        </w:rPr>
        <w:t xml:space="preserve">-319 </w:t>
      </w:r>
      <w:r w:rsidRPr="00AF408F">
        <w:rPr>
          <w:rFonts w:eastAsia="Calibri"/>
          <w:sz w:val="20"/>
          <w:szCs w:val="20"/>
          <w:lang w:val="en-US" w:eastAsia="en-US"/>
        </w:rPr>
        <w:t>Report</w:t>
      </w:r>
      <w:r w:rsidRPr="009865E8">
        <w:rPr>
          <w:rFonts w:eastAsia="Calibri"/>
          <w:sz w:val="20"/>
          <w:szCs w:val="20"/>
          <w:lang w:val="en-US" w:eastAsia="en-US"/>
        </w:rPr>
        <w:t>, 2010.</w:t>
      </w:r>
    </w:p>
    <w:p w14:paraId="493CDAE0" w14:textId="0CF305E9" w:rsidR="00AF408F" w:rsidRPr="00AF408F" w:rsidRDefault="00AF408F" w:rsidP="00AF408F">
      <w:pPr>
        <w:autoSpaceDE w:val="0"/>
        <w:autoSpaceDN w:val="0"/>
        <w:adjustRightInd w:val="0"/>
        <w:ind w:firstLine="142"/>
        <w:jc w:val="both"/>
        <w:rPr>
          <w:rFonts w:eastAsia="Calibri"/>
          <w:sz w:val="20"/>
          <w:szCs w:val="20"/>
          <w:lang w:eastAsia="en-US"/>
        </w:rPr>
      </w:pPr>
      <w:r w:rsidRPr="005A3506">
        <w:rPr>
          <w:rFonts w:eastAsia="Calibri"/>
          <w:sz w:val="20"/>
          <w:szCs w:val="20"/>
          <w:lang w:val="en-US" w:eastAsia="en-US"/>
        </w:rPr>
        <w:t>2</w:t>
      </w:r>
      <w:r w:rsidR="00280B36" w:rsidRPr="005A3506">
        <w:rPr>
          <w:rFonts w:eastAsia="Calibri"/>
          <w:sz w:val="20"/>
          <w:szCs w:val="20"/>
          <w:lang w:val="en-US" w:eastAsia="en-US"/>
        </w:rPr>
        <w:t>.</w:t>
      </w:r>
      <w:r w:rsidRPr="005A3506">
        <w:rPr>
          <w:rFonts w:eastAsia="Calibri"/>
          <w:sz w:val="20"/>
          <w:szCs w:val="20"/>
          <w:lang w:val="en-US" w:eastAsia="en-US"/>
        </w:rPr>
        <w:t xml:space="preserve"> </w:t>
      </w:r>
      <w:r w:rsidRPr="00AF408F">
        <w:rPr>
          <w:rFonts w:eastAsia="Calibri"/>
          <w:sz w:val="20"/>
          <w:szCs w:val="20"/>
          <w:lang w:eastAsia="en-US"/>
        </w:rPr>
        <w:t>Сахаров</w:t>
      </w:r>
      <w:r w:rsidRPr="005A3506">
        <w:rPr>
          <w:rFonts w:eastAsia="Calibri"/>
          <w:sz w:val="20"/>
          <w:szCs w:val="20"/>
          <w:lang w:val="en-US" w:eastAsia="en-US"/>
        </w:rPr>
        <w:t xml:space="preserve"> </w:t>
      </w:r>
      <w:r w:rsidRPr="00AF408F">
        <w:rPr>
          <w:rFonts w:eastAsia="Calibri"/>
          <w:sz w:val="20"/>
          <w:szCs w:val="20"/>
          <w:lang w:eastAsia="en-US"/>
        </w:rPr>
        <w:t>Я</w:t>
      </w:r>
      <w:r w:rsidRPr="005A3506">
        <w:rPr>
          <w:rFonts w:eastAsia="Calibri"/>
          <w:sz w:val="20"/>
          <w:szCs w:val="20"/>
          <w:lang w:val="en-US" w:eastAsia="en-US"/>
        </w:rPr>
        <w:t>.</w:t>
      </w:r>
      <w:r w:rsidRPr="00AF408F">
        <w:rPr>
          <w:rFonts w:eastAsia="Calibri"/>
          <w:sz w:val="20"/>
          <w:szCs w:val="20"/>
          <w:lang w:eastAsia="en-US"/>
        </w:rPr>
        <w:t>А</w:t>
      </w:r>
      <w:r w:rsidRPr="005A3506">
        <w:rPr>
          <w:rFonts w:eastAsia="Calibri"/>
          <w:sz w:val="20"/>
          <w:szCs w:val="20"/>
          <w:lang w:val="en-US" w:eastAsia="en-US"/>
        </w:rPr>
        <w:t xml:space="preserve">., </w:t>
      </w:r>
      <w:r w:rsidRPr="00AF408F">
        <w:rPr>
          <w:rFonts w:eastAsia="Calibri"/>
          <w:sz w:val="20"/>
          <w:szCs w:val="20"/>
          <w:lang w:eastAsia="en-US"/>
        </w:rPr>
        <w:t>Кудряшова</w:t>
      </w:r>
      <w:r w:rsidRPr="005A3506">
        <w:rPr>
          <w:rFonts w:eastAsia="Calibri"/>
          <w:sz w:val="20"/>
          <w:szCs w:val="20"/>
          <w:lang w:val="en-US" w:eastAsia="en-US"/>
        </w:rPr>
        <w:t xml:space="preserve"> </w:t>
      </w:r>
      <w:r w:rsidRPr="00AF408F">
        <w:rPr>
          <w:rFonts w:eastAsia="Calibri"/>
          <w:sz w:val="20"/>
          <w:szCs w:val="20"/>
          <w:lang w:eastAsia="en-US"/>
        </w:rPr>
        <w:t>Н</w:t>
      </w:r>
      <w:r w:rsidRPr="005A3506">
        <w:rPr>
          <w:rFonts w:eastAsia="Calibri"/>
          <w:sz w:val="20"/>
          <w:szCs w:val="20"/>
          <w:lang w:val="en-US" w:eastAsia="en-US"/>
        </w:rPr>
        <w:t>.</w:t>
      </w:r>
      <w:r w:rsidRPr="00AF408F">
        <w:rPr>
          <w:rFonts w:eastAsia="Calibri"/>
          <w:sz w:val="20"/>
          <w:szCs w:val="20"/>
          <w:lang w:eastAsia="en-US"/>
        </w:rPr>
        <w:t>В</w:t>
      </w:r>
      <w:r w:rsidRPr="005A3506">
        <w:rPr>
          <w:rFonts w:eastAsia="Calibri"/>
          <w:sz w:val="20"/>
          <w:szCs w:val="20"/>
          <w:lang w:val="en-US" w:eastAsia="en-US"/>
        </w:rPr>
        <w:t xml:space="preserve">., </w:t>
      </w:r>
      <w:r w:rsidRPr="00AF408F">
        <w:rPr>
          <w:rFonts w:eastAsia="Calibri"/>
          <w:sz w:val="20"/>
          <w:szCs w:val="20"/>
          <w:lang w:eastAsia="en-US"/>
        </w:rPr>
        <w:t>Данилин</w:t>
      </w:r>
      <w:r w:rsidRPr="005A3506">
        <w:rPr>
          <w:rFonts w:eastAsia="Calibri"/>
          <w:sz w:val="20"/>
          <w:szCs w:val="20"/>
          <w:lang w:val="en-US" w:eastAsia="en-US"/>
        </w:rPr>
        <w:t xml:space="preserve"> </w:t>
      </w:r>
      <w:r w:rsidRPr="00AF408F">
        <w:rPr>
          <w:rFonts w:eastAsia="Calibri"/>
          <w:sz w:val="20"/>
          <w:szCs w:val="20"/>
          <w:lang w:eastAsia="en-US"/>
        </w:rPr>
        <w:t>А</w:t>
      </w:r>
      <w:r w:rsidRPr="005A3506">
        <w:rPr>
          <w:rFonts w:eastAsia="Calibri"/>
          <w:sz w:val="20"/>
          <w:szCs w:val="20"/>
          <w:lang w:val="en-US" w:eastAsia="en-US"/>
        </w:rPr>
        <w:t>.</w:t>
      </w:r>
      <w:r w:rsidRPr="00AF408F">
        <w:rPr>
          <w:rFonts w:eastAsia="Calibri"/>
          <w:sz w:val="20"/>
          <w:szCs w:val="20"/>
          <w:lang w:eastAsia="en-US"/>
        </w:rPr>
        <w:t>Н</w:t>
      </w:r>
      <w:r w:rsidRPr="005A3506">
        <w:rPr>
          <w:rFonts w:eastAsia="Calibri"/>
          <w:sz w:val="20"/>
          <w:szCs w:val="20"/>
          <w:lang w:val="en-US" w:eastAsia="en-US"/>
        </w:rPr>
        <w:t xml:space="preserve">. </w:t>
      </w:r>
      <w:r w:rsidRPr="00AF408F">
        <w:rPr>
          <w:rFonts w:eastAsia="Calibri"/>
          <w:sz w:val="20"/>
          <w:szCs w:val="20"/>
          <w:lang w:eastAsia="en-US"/>
        </w:rPr>
        <w:t>и</w:t>
      </w:r>
      <w:r w:rsidRPr="005A3506">
        <w:rPr>
          <w:rFonts w:eastAsia="Calibri"/>
          <w:sz w:val="20"/>
          <w:szCs w:val="20"/>
          <w:lang w:val="en-US" w:eastAsia="en-US"/>
        </w:rPr>
        <w:t xml:space="preserve"> </w:t>
      </w:r>
      <w:proofErr w:type="spellStart"/>
      <w:r w:rsidRPr="00AF408F">
        <w:rPr>
          <w:rFonts w:eastAsia="Calibri"/>
          <w:sz w:val="20"/>
          <w:szCs w:val="20"/>
          <w:lang w:eastAsia="en-US"/>
        </w:rPr>
        <w:t>др</w:t>
      </w:r>
      <w:proofErr w:type="spellEnd"/>
      <w:r w:rsidRPr="005A3506">
        <w:rPr>
          <w:rFonts w:eastAsia="Calibri"/>
          <w:sz w:val="20"/>
          <w:szCs w:val="20"/>
          <w:lang w:val="en-US" w:eastAsia="en-US"/>
        </w:rPr>
        <w:t xml:space="preserve">. </w:t>
      </w:r>
      <w:r w:rsidRPr="00AF408F">
        <w:rPr>
          <w:rFonts w:eastAsia="Calibri"/>
          <w:sz w:val="20"/>
          <w:szCs w:val="20"/>
          <w:lang w:eastAsia="en-US"/>
        </w:rPr>
        <w:t xml:space="preserve">Влияние геомагнитных возмущений на работу железнодорожной автоматики. Вестник МИИТ. 2009. </w:t>
      </w:r>
      <w:proofErr w:type="spellStart"/>
      <w:r w:rsidRPr="00AF408F">
        <w:rPr>
          <w:rFonts w:eastAsia="Calibri"/>
          <w:sz w:val="20"/>
          <w:szCs w:val="20"/>
          <w:lang w:eastAsia="en-US"/>
        </w:rPr>
        <w:t>Вып</w:t>
      </w:r>
      <w:proofErr w:type="spellEnd"/>
      <w:r w:rsidRPr="00AF408F">
        <w:rPr>
          <w:rFonts w:eastAsia="Calibri"/>
          <w:sz w:val="20"/>
          <w:szCs w:val="20"/>
          <w:lang w:eastAsia="en-US"/>
        </w:rPr>
        <w:t>. 21. С. 107–111.</w:t>
      </w:r>
    </w:p>
    <w:p w14:paraId="3EA5A53B" w14:textId="1A3439BA" w:rsidR="00AF408F" w:rsidRPr="00AF408F" w:rsidRDefault="00AF408F" w:rsidP="00AF408F">
      <w:pPr>
        <w:autoSpaceDE w:val="0"/>
        <w:autoSpaceDN w:val="0"/>
        <w:adjustRightInd w:val="0"/>
        <w:ind w:firstLine="142"/>
        <w:jc w:val="both"/>
        <w:rPr>
          <w:rFonts w:eastAsia="Calibri"/>
          <w:sz w:val="20"/>
          <w:szCs w:val="20"/>
          <w:lang w:eastAsia="en-US"/>
        </w:rPr>
      </w:pPr>
      <w:r w:rsidRPr="002F4403">
        <w:rPr>
          <w:rFonts w:eastAsia="Calibri"/>
          <w:sz w:val="20"/>
          <w:szCs w:val="20"/>
          <w:lang w:eastAsia="en-US"/>
        </w:rPr>
        <w:t>3</w:t>
      </w:r>
      <w:r w:rsidR="00280B36">
        <w:rPr>
          <w:rFonts w:eastAsia="Calibri"/>
          <w:sz w:val="20"/>
          <w:szCs w:val="20"/>
          <w:lang w:eastAsia="en-US"/>
        </w:rPr>
        <w:t>.</w:t>
      </w:r>
      <w:r w:rsidRPr="00AF408F">
        <w:rPr>
          <w:rFonts w:eastAsia="Calibri"/>
          <w:sz w:val="20"/>
          <w:szCs w:val="20"/>
          <w:lang w:eastAsia="en-US"/>
        </w:rPr>
        <w:t xml:space="preserve"> Сахаров </w:t>
      </w:r>
      <w:proofErr w:type="spellStart"/>
      <w:r w:rsidRPr="00AF408F">
        <w:rPr>
          <w:rFonts w:eastAsia="Calibri"/>
          <w:sz w:val="20"/>
          <w:szCs w:val="20"/>
          <w:lang w:eastAsia="en-US"/>
        </w:rPr>
        <w:t>Я.А</w:t>
      </w:r>
      <w:proofErr w:type="spellEnd"/>
      <w:r w:rsidRPr="00AF408F">
        <w:rPr>
          <w:rFonts w:eastAsia="Calibri"/>
          <w:sz w:val="20"/>
          <w:szCs w:val="20"/>
          <w:lang w:eastAsia="en-US"/>
        </w:rPr>
        <w:t xml:space="preserve">., Селиванов </w:t>
      </w:r>
      <w:proofErr w:type="spellStart"/>
      <w:r w:rsidRPr="00AF408F">
        <w:rPr>
          <w:rFonts w:eastAsia="Calibri"/>
          <w:sz w:val="20"/>
          <w:szCs w:val="20"/>
          <w:lang w:eastAsia="en-US"/>
        </w:rPr>
        <w:t>В.Н</w:t>
      </w:r>
      <w:proofErr w:type="spellEnd"/>
      <w:r w:rsidRPr="00AF408F">
        <w:rPr>
          <w:rFonts w:eastAsia="Calibri"/>
          <w:sz w:val="20"/>
          <w:szCs w:val="20"/>
          <w:lang w:eastAsia="en-US"/>
        </w:rPr>
        <w:t xml:space="preserve">., </w:t>
      </w:r>
      <w:proofErr w:type="spellStart"/>
      <w:r w:rsidRPr="00AF408F">
        <w:rPr>
          <w:rFonts w:eastAsia="Calibri"/>
          <w:sz w:val="20"/>
          <w:szCs w:val="20"/>
          <w:lang w:eastAsia="en-US"/>
        </w:rPr>
        <w:t>Билин</w:t>
      </w:r>
      <w:proofErr w:type="spellEnd"/>
      <w:r w:rsidRPr="00AF408F">
        <w:rPr>
          <w:rFonts w:eastAsia="Calibri"/>
          <w:sz w:val="20"/>
          <w:szCs w:val="20"/>
          <w:lang w:eastAsia="en-US"/>
        </w:rPr>
        <w:t xml:space="preserve"> </w:t>
      </w:r>
      <w:proofErr w:type="spellStart"/>
      <w:r w:rsidRPr="00AF408F">
        <w:rPr>
          <w:rFonts w:eastAsia="Calibri"/>
          <w:sz w:val="20"/>
          <w:szCs w:val="20"/>
          <w:lang w:eastAsia="en-US"/>
        </w:rPr>
        <w:t>В.А</w:t>
      </w:r>
      <w:proofErr w:type="spellEnd"/>
      <w:r w:rsidRPr="00AF408F">
        <w:rPr>
          <w:rFonts w:eastAsia="Calibri"/>
          <w:sz w:val="20"/>
          <w:szCs w:val="20"/>
          <w:lang w:eastAsia="en-US"/>
        </w:rPr>
        <w:t xml:space="preserve">., Николаев </w:t>
      </w:r>
      <w:proofErr w:type="spellStart"/>
      <w:r w:rsidRPr="00AF408F">
        <w:rPr>
          <w:rFonts w:eastAsia="Calibri"/>
          <w:sz w:val="20"/>
          <w:szCs w:val="20"/>
          <w:lang w:eastAsia="en-US"/>
        </w:rPr>
        <w:t>В.Г</w:t>
      </w:r>
      <w:proofErr w:type="spellEnd"/>
      <w:r w:rsidRPr="00AF408F">
        <w:rPr>
          <w:rFonts w:eastAsia="Calibri"/>
          <w:sz w:val="20"/>
          <w:szCs w:val="20"/>
          <w:lang w:eastAsia="en-US"/>
        </w:rPr>
        <w:t xml:space="preserve">. Экстремальные величины </w:t>
      </w:r>
      <w:proofErr w:type="spellStart"/>
      <w:r w:rsidRPr="00AF408F">
        <w:rPr>
          <w:rFonts w:eastAsia="Calibri"/>
          <w:sz w:val="20"/>
          <w:szCs w:val="20"/>
          <w:lang w:eastAsia="en-US"/>
        </w:rPr>
        <w:t>геоиндуктированных</w:t>
      </w:r>
      <w:proofErr w:type="spellEnd"/>
      <w:r w:rsidRPr="00AF408F">
        <w:rPr>
          <w:rFonts w:eastAsia="Calibri"/>
          <w:sz w:val="20"/>
          <w:szCs w:val="20"/>
          <w:lang w:eastAsia="en-US"/>
        </w:rPr>
        <w:t xml:space="preserve"> токов в региональной энергосистеме. «</w:t>
      </w:r>
      <w:r w:rsidRPr="00AF408F">
        <w:rPr>
          <w:rFonts w:eastAsia="Calibri"/>
          <w:sz w:val="20"/>
          <w:szCs w:val="20"/>
          <w:lang w:val="en-US" w:eastAsia="en-US"/>
        </w:rPr>
        <w:t>Physics</w:t>
      </w:r>
      <w:r w:rsidRPr="00AF408F">
        <w:rPr>
          <w:rFonts w:eastAsia="Calibri"/>
          <w:sz w:val="20"/>
          <w:szCs w:val="20"/>
          <w:lang w:eastAsia="en-US"/>
        </w:rPr>
        <w:t xml:space="preserve"> </w:t>
      </w:r>
      <w:r w:rsidRPr="00AF408F">
        <w:rPr>
          <w:rFonts w:eastAsia="Calibri"/>
          <w:sz w:val="20"/>
          <w:szCs w:val="20"/>
          <w:lang w:val="en-US" w:eastAsia="en-US"/>
        </w:rPr>
        <w:t>of</w:t>
      </w:r>
      <w:r w:rsidRPr="00AF408F">
        <w:rPr>
          <w:rFonts w:eastAsia="Calibri"/>
          <w:sz w:val="20"/>
          <w:szCs w:val="20"/>
          <w:lang w:eastAsia="en-US"/>
        </w:rPr>
        <w:t xml:space="preserve"> </w:t>
      </w:r>
      <w:r w:rsidRPr="00AF408F">
        <w:rPr>
          <w:rFonts w:eastAsia="Calibri"/>
          <w:sz w:val="20"/>
          <w:szCs w:val="20"/>
          <w:lang w:val="en-US" w:eastAsia="en-US"/>
        </w:rPr>
        <w:t>Auroral</w:t>
      </w:r>
      <w:r w:rsidRPr="00AF408F">
        <w:rPr>
          <w:rFonts w:eastAsia="Calibri"/>
          <w:sz w:val="20"/>
          <w:szCs w:val="20"/>
          <w:lang w:eastAsia="en-US"/>
        </w:rPr>
        <w:t xml:space="preserve"> </w:t>
      </w:r>
      <w:r w:rsidRPr="00AF408F">
        <w:rPr>
          <w:rFonts w:eastAsia="Calibri"/>
          <w:sz w:val="20"/>
          <w:szCs w:val="20"/>
          <w:lang w:val="en-US" w:eastAsia="en-US"/>
        </w:rPr>
        <w:t>Phenomena</w:t>
      </w:r>
      <w:r w:rsidRPr="00AF408F">
        <w:rPr>
          <w:rFonts w:eastAsia="Calibri"/>
          <w:sz w:val="20"/>
          <w:szCs w:val="20"/>
          <w:lang w:eastAsia="en-US"/>
        </w:rPr>
        <w:t xml:space="preserve">», </w:t>
      </w:r>
      <w:r w:rsidRPr="00AF408F">
        <w:rPr>
          <w:rFonts w:eastAsia="Calibri"/>
          <w:sz w:val="20"/>
          <w:szCs w:val="20"/>
          <w:lang w:val="en-US" w:eastAsia="en-US"/>
        </w:rPr>
        <w:t>Proc</w:t>
      </w:r>
      <w:r w:rsidRPr="00AF408F">
        <w:rPr>
          <w:rFonts w:eastAsia="Calibri"/>
          <w:sz w:val="20"/>
          <w:szCs w:val="20"/>
          <w:lang w:eastAsia="en-US"/>
        </w:rPr>
        <w:t xml:space="preserve">. </w:t>
      </w:r>
      <w:r w:rsidRPr="00AF408F">
        <w:rPr>
          <w:rFonts w:eastAsia="Calibri"/>
          <w:sz w:val="20"/>
          <w:szCs w:val="20"/>
          <w:lang w:val="en-US" w:eastAsia="en-US"/>
        </w:rPr>
        <w:t>XLII</w:t>
      </w:r>
      <w:r w:rsidRPr="00AF408F">
        <w:rPr>
          <w:rFonts w:eastAsia="Calibri"/>
          <w:sz w:val="20"/>
          <w:szCs w:val="20"/>
          <w:lang w:eastAsia="en-US"/>
        </w:rPr>
        <w:t xml:space="preserve"> </w:t>
      </w:r>
      <w:r w:rsidRPr="00AF408F">
        <w:rPr>
          <w:rFonts w:eastAsia="Calibri"/>
          <w:sz w:val="20"/>
          <w:szCs w:val="20"/>
          <w:lang w:val="en-US" w:eastAsia="en-US"/>
        </w:rPr>
        <w:t>Annual</w:t>
      </w:r>
      <w:r w:rsidRPr="00AF408F">
        <w:rPr>
          <w:rFonts w:eastAsia="Calibri"/>
          <w:sz w:val="20"/>
          <w:szCs w:val="20"/>
          <w:lang w:eastAsia="en-US"/>
        </w:rPr>
        <w:t xml:space="preserve"> </w:t>
      </w:r>
      <w:r w:rsidRPr="00AF408F">
        <w:rPr>
          <w:rFonts w:eastAsia="Calibri"/>
          <w:sz w:val="20"/>
          <w:szCs w:val="20"/>
          <w:lang w:val="en-US" w:eastAsia="en-US"/>
        </w:rPr>
        <w:t>Seminar</w:t>
      </w:r>
      <w:r w:rsidRPr="00AF408F">
        <w:rPr>
          <w:rFonts w:eastAsia="Calibri"/>
          <w:sz w:val="20"/>
          <w:szCs w:val="20"/>
          <w:lang w:eastAsia="en-US"/>
        </w:rPr>
        <w:t xml:space="preserve">, </w:t>
      </w:r>
      <w:proofErr w:type="spellStart"/>
      <w:r w:rsidRPr="00AF408F">
        <w:rPr>
          <w:rFonts w:eastAsia="Calibri"/>
          <w:sz w:val="20"/>
          <w:szCs w:val="20"/>
          <w:lang w:val="en-US" w:eastAsia="en-US"/>
        </w:rPr>
        <w:t>Apatity</w:t>
      </w:r>
      <w:proofErr w:type="spellEnd"/>
      <w:r w:rsidRPr="00AF408F">
        <w:rPr>
          <w:rFonts w:eastAsia="Calibri"/>
          <w:sz w:val="20"/>
          <w:szCs w:val="20"/>
          <w:lang w:eastAsia="en-US"/>
        </w:rPr>
        <w:t>. 2019.</w:t>
      </w:r>
    </w:p>
    <w:p w14:paraId="73C0AAD0" w14:textId="751C21D4" w:rsidR="00AF408F" w:rsidRPr="00AF408F" w:rsidRDefault="00AF408F" w:rsidP="00AF408F">
      <w:pPr>
        <w:autoSpaceDE w:val="0"/>
        <w:autoSpaceDN w:val="0"/>
        <w:adjustRightInd w:val="0"/>
        <w:ind w:firstLine="142"/>
        <w:jc w:val="both"/>
        <w:rPr>
          <w:rFonts w:eastAsia="Calibri"/>
          <w:sz w:val="20"/>
          <w:szCs w:val="20"/>
          <w:lang w:eastAsia="en-US"/>
        </w:rPr>
      </w:pPr>
      <w:r w:rsidRPr="002F4403">
        <w:rPr>
          <w:rFonts w:eastAsia="Calibri"/>
          <w:sz w:val="20"/>
          <w:szCs w:val="20"/>
          <w:lang w:eastAsia="en-US"/>
        </w:rPr>
        <w:t>4</w:t>
      </w:r>
      <w:r w:rsidR="00280B36">
        <w:rPr>
          <w:rFonts w:eastAsia="Calibri"/>
          <w:sz w:val="20"/>
          <w:szCs w:val="20"/>
          <w:lang w:eastAsia="en-US"/>
        </w:rPr>
        <w:t>.</w:t>
      </w:r>
      <w:r w:rsidRPr="00AF408F">
        <w:rPr>
          <w:rFonts w:eastAsia="Calibri"/>
          <w:sz w:val="20"/>
          <w:szCs w:val="20"/>
          <w:lang w:eastAsia="en-US"/>
        </w:rPr>
        <w:t xml:space="preserve"> Селиванов </w:t>
      </w:r>
      <w:proofErr w:type="spellStart"/>
      <w:r w:rsidRPr="00AF408F">
        <w:rPr>
          <w:rFonts w:eastAsia="Calibri"/>
          <w:sz w:val="20"/>
          <w:szCs w:val="20"/>
          <w:lang w:eastAsia="en-US"/>
        </w:rPr>
        <w:t>В.Н</w:t>
      </w:r>
      <w:proofErr w:type="spellEnd"/>
      <w:r w:rsidRPr="00AF408F">
        <w:rPr>
          <w:rFonts w:eastAsia="Calibri"/>
          <w:sz w:val="20"/>
          <w:szCs w:val="20"/>
          <w:lang w:eastAsia="en-US"/>
        </w:rPr>
        <w:t xml:space="preserve">., Данилин </w:t>
      </w:r>
      <w:proofErr w:type="spellStart"/>
      <w:r w:rsidRPr="00AF408F">
        <w:rPr>
          <w:rFonts w:eastAsia="Calibri"/>
          <w:sz w:val="20"/>
          <w:szCs w:val="20"/>
          <w:lang w:eastAsia="en-US"/>
        </w:rPr>
        <w:t>А.Н</w:t>
      </w:r>
      <w:proofErr w:type="spellEnd"/>
      <w:r w:rsidRPr="00AF408F">
        <w:rPr>
          <w:rFonts w:eastAsia="Calibri"/>
          <w:sz w:val="20"/>
          <w:szCs w:val="20"/>
          <w:lang w:eastAsia="en-US"/>
        </w:rPr>
        <w:t xml:space="preserve">., Колобов </w:t>
      </w:r>
      <w:proofErr w:type="spellStart"/>
      <w:r w:rsidRPr="00AF408F">
        <w:rPr>
          <w:rFonts w:eastAsia="Calibri"/>
          <w:sz w:val="20"/>
          <w:szCs w:val="20"/>
          <w:lang w:eastAsia="en-US"/>
        </w:rPr>
        <w:t>В.В</w:t>
      </w:r>
      <w:proofErr w:type="spellEnd"/>
      <w:r w:rsidRPr="00AF408F">
        <w:rPr>
          <w:rFonts w:eastAsia="Calibri"/>
          <w:sz w:val="20"/>
          <w:szCs w:val="20"/>
          <w:lang w:eastAsia="en-US"/>
        </w:rPr>
        <w:t xml:space="preserve">., Сахаров </w:t>
      </w:r>
      <w:proofErr w:type="spellStart"/>
      <w:r w:rsidRPr="00AF408F">
        <w:rPr>
          <w:rFonts w:eastAsia="Calibri"/>
          <w:sz w:val="20"/>
          <w:szCs w:val="20"/>
          <w:lang w:eastAsia="en-US"/>
        </w:rPr>
        <w:t>Я.А</w:t>
      </w:r>
      <w:proofErr w:type="spellEnd"/>
      <w:r w:rsidRPr="00AF408F">
        <w:rPr>
          <w:rFonts w:eastAsia="Calibri"/>
          <w:sz w:val="20"/>
          <w:szCs w:val="20"/>
          <w:lang w:eastAsia="en-US"/>
        </w:rPr>
        <w:t xml:space="preserve">., Баранник М.Б. Результаты длительных регистраций токов в нейтралях силовых трансформаторов. Труды КНЦ РАН: Энергетика. Апатиты: Изд-во Кольского научного центра РАН, 2010. </w:t>
      </w:r>
      <w:proofErr w:type="spellStart"/>
      <w:r w:rsidRPr="00AF408F">
        <w:rPr>
          <w:rFonts w:eastAsia="Calibri"/>
          <w:sz w:val="20"/>
          <w:szCs w:val="20"/>
          <w:lang w:eastAsia="en-US"/>
        </w:rPr>
        <w:t>Вып</w:t>
      </w:r>
      <w:proofErr w:type="spellEnd"/>
      <w:r w:rsidRPr="00AF408F">
        <w:rPr>
          <w:rFonts w:eastAsia="Calibri"/>
          <w:sz w:val="20"/>
          <w:szCs w:val="20"/>
          <w:lang w:eastAsia="en-US"/>
        </w:rPr>
        <w:t>. 1. С. 84</w:t>
      </w:r>
      <w:bookmarkStart w:id="1" w:name="_Hlk188726764"/>
      <w:r w:rsidRPr="00AF408F">
        <w:rPr>
          <w:rFonts w:eastAsia="Calibri"/>
          <w:sz w:val="20"/>
          <w:szCs w:val="20"/>
          <w:lang w:eastAsia="en-US"/>
        </w:rPr>
        <w:t>–</w:t>
      </w:r>
      <w:bookmarkEnd w:id="1"/>
      <w:r w:rsidRPr="00AF408F">
        <w:rPr>
          <w:rFonts w:eastAsia="Calibri"/>
          <w:sz w:val="20"/>
          <w:szCs w:val="20"/>
          <w:lang w:eastAsia="en-US"/>
        </w:rPr>
        <w:t>90.</w:t>
      </w:r>
    </w:p>
    <w:p w14:paraId="4165DA5C" w14:textId="240A0331" w:rsidR="00AF408F" w:rsidRPr="00AF408F" w:rsidRDefault="00AF408F" w:rsidP="00AF408F">
      <w:pPr>
        <w:ind w:firstLine="142"/>
        <w:jc w:val="both"/>
        <w:rPr>
          <w:rFonts w:eastAsia="Calibri"/>
          <w:sz w:val="20"/>
          <w:szCs w:val="20"/>
          <w:lang w:eastAsia="en-US"/>
        </w:rPr>
      </w:pPr>
      <w:r w:rsidRPr="002F4403">
        <w:rPr>
          <w:rFonts w:eastAsia="Calibri"/>
          <w:sz w:val="20"/>
          <w:szCs w:val="20"/>
          <w:lang w:eastAsia="en-US"/>
        </w:rPr>
        <w:t>5</w:t>
      </w:r>
      <w:r w:rsidR="00280B36">
        <w:rPr>
          <w:rFonts w:eastAsia="Calibri"/>
          <w:sz w:val="20"/>
          <w:szCs w:val="20"/>
          <w:lang w:eastAsia="en-US"/>
        </w:rPr>
        <w:t>.</w:t>
      </w:r>
      <w:r w:rsidRPr="00AF408F">
        <w:rPr>
          <w:rFonts w:eastAsia="Calibri"/>
          <w:sz w:val="20"/>
          <w:szCs w:val="20"/>
          <w:lang w:eastAsia="en-US"/>
        </w:rPr>
        <w:t xml:space="preserve"> Баранник М.Б., Данилин </w:t>
      </w:r>
      <w:proofErr w:type="spellStart"/>
      <w:r w:rsidRPr="00AF408F">
        <w:rPr>
          <w:rFonts w:eastAsia="Calibri"/>
          <w:sz w:val="20"/>
          <w:szCs w:val="20"/>
          <w:lang w:eastAsia="en-US"/>
        </w:rPr>
        <w:t>А.Н</w:t>
      </w:r>
      <w:proofErr w:type="spellEnd"/>
      <w:r w:rsidRPr="00AF408F">
        <w:rPr>
          <w:rFonts w:eastAsia="Calibri"/>
          <w:sz w:val="20"/>
          <w:szCs w:val="20"/>
          <w:lang w:eastAsia="en-US"/>
        </w:rPr>
        <w:t xml:space="preserve">., </w:t>
      </w:r>
      <w:proofErr w:type="spellStart"/>
      <w:r w:rsidRPr="00AF408F">
        <w:rPr>
          <w:rFonts w:eastAsia="Calibri"/>
          <w:sz w:val="20"/>
          <w:szCs w:val="20"/>
          <w:lang w:eastAsia="en-US"/>
        </w:rPr>
        <w:t>Катькалов</w:t>
      </w:r>
      <w:proofErr w:type="spellEnd"/>
      <w:r w:rsidRPr="00AF408F">
        <w:rPr>
          <w:rFonts w:eastAsia="Calibri"/>
          <w:sz w:val="20"/>
          <w:szCs w:val="20"/>
          <w:lang w:eastAsia="en-US"/>
        </w:rPr>
        <w:t xml:space="preserve"> </w:t>
      </w:r>
      <w:proofErr w:type="spellStart"/>
      <w:r w:rsidRPr="00AF408F">
        <w:rPr>
          <w:rFonts w:eastAsia="Calibri"/>
          <w:sz w:val="20"/>
          <w:szCs w:val="20"/>
          <w:lang w:eastAsia="en-US"/>
        </w:rPr>
        <w:t>Ю.В</w:t>
      </w:r>
      <w:proofErr w:type="spellEnd"/>
      <w:r w:rsidRPr="00AF408F">
        <w:rPr>
          <w:rFonts w:eastAsia="Calibri"/>
          <w:sz w:val="20"/>
          <w:szCs w:val="20"/>
          <w:lang w:eastAsia="en-US"/>
        </w:rPr>
        <w:t xml:space="preserve">., Колобов </w:t>
      </w:r>
      <w:proofErr w:type="spellStart"/>
      <w:r w:rsidRPr="00AF408F">
        <w:rPr>
          <w:rFonts w:eastAsia="Calibri"/>
          <w:sz w:val="20"/>
          <w:szCs w:val="20"/>
          <w:lang w:eastAsia="en-US"/>
        </w:rPr>
        <w:t>В.В</w:t>
      </w:r>
      <w:proofErr w:type="spellEnd"/>
      <w:r w:rsidRPr="00AF408F">
        <w:rPr>
          <w:rFonts w:eastAsia="Calibri"/>
          <w:sz w:val="20"/>
          <w:szCs w:val="20"/>
          <w:lang w:eastAsia="en-US"/>
        </w:rPr>
        <w:t xml:space="preserve">., Сахаров </w:t>
      </w:r>
      <w:proofErr w:type="spellStart"/>
      <w:r w:rsidRPr="00AF408F">
        <w:rPr>
          <w:rFonts w:eastAsia="Calibri"/>
          <w:sz w:val="20"/>
          <w:szCs w:val="20"/>
          <w:lang w:eastAsia="en-US"/>
        </w:rPr>
        <w:t>Я.А</w:t>
      </w:r>
      <w:proofErr w:type="spellEnd"/>
      <w:r w:rsidRPr="00AF408F">
        <w:rPr>
          <w:rFonts w:eastAsia="Calibri"/>
          <w:sz w:val="20"/>
          <w:szCs w:val="20"/>
          <w:lang w:eastAsia="en-US"/>
        </w:rPr>
        <w:t xml:space="preserve">., Селиванов </w:t>
      </w:r>
      <w:proofErr w:type="spellStart"/>
      <w:r w:rsidRPr="00AF408F">
        <w:rPr>
          <w:rFonts w:eastAsia="Calibri"/>
          <w:sz w:val="20"/>
          <w:szCs w:val="20"/>
          <w:lang w:eastAsia="en-US"/>
        </w:rPr>
        <w:t>В.Н</w:t>
      </w:r>
      <w:proofErr w:type="spellEnd"/>
      <w:r w:rsidRPr="00AF408F">
        <w:rPr>
          <w:rFonts w:eastAsia="Calibri"/>
          <w:sz w:val="20"/>
          <w:szCs w:val="20"/>
          <w:lang w:eastAsia="en-US"/>
        </w:rPr>
        <w:t xml:space="preserve">. Система регистрации геоиндуцированных токов в нейтралях силовых трансформаторов // </w:t>
      </w:r>
      <w:proofErr w:type="spellStart"/>
      <w:r w:rsidRPr="00AF408F">
        <w:rPr>
          <w:rFonts w:eastAsia="Calibri"/>
          <w:sz w:val="20"/>
          <w:szCs w:val="20"/>
          <w:lang w:eastAsia="en-US"/>
        </w:rPr>
        <w:t>ПТЭ</w:t>
      </w:r>
      <w:proofErr w:type="spellEnd"/>
      <w:r w:rsidRPr="00AF408F">
        <w:rPr>
          <w:rFonts w:eastAsia="Calibri"/>
          <w:sz w:val="20"/>
          <w:szCs w:val="20"/>
          <w:lang w:eastAsia="en-US"/>
        </w:rPr>
        <w:t xml:space="preserve">, 2012, №1, </w:t>
      </w:r>
      <w:proofErr w:type="spellStart"/>
      <w:r w:rsidRPr="002F4403">
        <w:rPr>
          <w:rFonts w:eastAsia="Calibri"/>
          <w:sz w:val="20"/>
          <w:szCs w:val="20"/>
          <w:lang w:eastAsia="en-US"/>
        </w:rPr>
        <w:t>С</w:t>
      </w:r>
      <w:r w:rsidRPr="00AF408F">
        <w:rPr>
          <w:rFonts w:eastAsia="Calibri"/>
          <w:sz w:val="20"/>
          <w:szCs w:val="20"/>
          <w:lang w:eastAsia="en-US"/>
        </w:rPr>
        <w:t>.118</w:t>
      </w:r>
      <w:proofErr w:type="spellEnd"/>
      <w:r w:rsidRPr="00AF408F">
        <w:rPr>
          <w:rFonts w:eastAsia="Calibri"/>
          <w:sz w:val="20"/>
          <w:szCs w:val="20"/>
          <w:lang w:eastAsia="en-US"/>
        </w:rPr>
        <w:t>–123.</w:t>
      </w:r>
    </w:p>
    <w:p w14:paraId="4E619080" w14:textId="15520B72" w:rsidR="002F4403" w:rsidRPr="002F4403" w:rsidRDefault="00AF408F" w:rsidP="002F4403">
      <w:pPr>
        <w:ind w:firstLine="142"/>
        <w:jc w:val="both"/>
        <w:rPr>
          <w:rFonts w:eastAsia="Calibri"/>
          <w:sz w:val="20"/>
          <w:szCs w:val="20"/>
          <w:lang w:eastAsia="en-US"/>
        </w:rPr>
      </w:pPr>
      <w:r w:rsidRPr="002F4403">
        <w:rPr>
          <w:rFonts w:eastAsia="Calibri"/>
          <w:sz w:val="20"/>
          <w:szCs w:val="20"/>
          <w:lang w:eastAsia="en-US"/>
        </w:rPr>
        <w:t>6</w:t>
      </w:r>
      <w:r w:rsidR="00280B36">
        <w:rPr>
          <w:rFonts w:eastAsia="Calibri"/>
          <w:sz w:val="20"/>
          <w:szCs w:val="20"/>
          <w:lang w:eastAsia="en-US"/>
        </w:rPr>
        <w:t>.</w:t>
      </w:r>
      <w:r w:rsidRPr="00AF408F">
        <w:rPr>
          <w:rFonts w:eastAsia="Calibri"/>
          <w:sz w:val="20"/>
          <w:szCs w:val="20"/>
          <w:lang w:eastAsia="en-US"/>
        </w:rPr>
        <w:t xml:space="preserve"> Датчики тока и напряжения для промышленности. Промышленный каталог </w:t>
      </w:r>
      <w:r w:rsidRPr="00AF408F">
        <w:rPr>
          <w:rFonts w:eastAsia="Calibri"/>
          <w:sz w:val="20"/>
          <w:szCs w:val="20"/>
          <w:lang w:val="en-US" w:eastAsia="en-US"/>
        </w:rPr>
        <w:t>LEM</w:t>
      </w:r>
      <w:r w:rsidRPr="00AF408F">
        <w:rPr>
          <w:rFonts w:eastAsia="Calibri"/>
          <w:sz w:val="20"/>
          <w:szCs w:val="20"/>
          <w:lang w:eastAsia="en-US"/>
        </w:rPr>
        <w:t>.</w:t>
      </w:r>
    </w:p>
    <w:p w14:paraId="37574FA5" w14:textId="594A5501" w:rsidR="00AF408F" w:rsidRPr="009865E8" w:rsidRDefault="00AF408F" w:rsidP="002F4403">
      <w:pPr>
        <w:ind w:firstLine="142"/>
        <w:jc w:val="both"/>
        <w:rPr>
          <w:sz w:val="20"/>
          <w:szCs w:val="20"/>
        </w:rPr>
      </w:pPr>
      <w:r w:rsidRPr="002F4403">
        <w:rPr>
          <w:sz w:val="20"/>
          <w:szCs w:val="20"/>
        </w:rPr>
        <w:t>7</w:t>
      </w:r>
      <w:r w:rsidR="00280B36">
        <w:rPr>
          <w:sz w:val="20"/>
          <w:szCs w:val="20"/>
        </w:rPr>
        <w:t>.</w:t>
      </w:r>
      <w:r w:rsidRPr="00AF408F">
        <w:rPr>
          <w:sz w:val="20"/>
          <w:szCs w:val="20"/>
        </w:rPr>
        <w:t xml:space="preserve"> Изолированные датчики тока и напряжения производства ООО «</w:t>
      </w:r>
      <w:proofErr w:type="spellStart"/>
      <w:r w:rsidRPr="00AF408F">
        <w:rPr>
          <w:sz w:val="20"/>
          <w:szCs w:val="20"/>
        </w:rPr>
        <w:t>ТВЕЛЕМ</w:t>
      </w:r>
      <w:proofErr w:type="spellEnd"/>
      <w:r w:rsidRPr="00AF408F">
        <w:rPr>
          <w:sz w:val="20"/>
          <w:szCs w:val="20"/>
        </w:rPr>
        <w:t xml:space="preserve">». Характеристики – Применение - Расчеты. </w:t>
      </w:r>
    </w:p>
    <w:p w14:paraId="2B9746C8" w14:textId="1E8FB4A8" w:rsidR="00AF408F" w:rsidRPr="00AF408F" w:rsidRDefault="00AF408F" w:rsidP="00AF408F">
      <w:pPr>
        <w:ind w:firstLine="142"/>
        <w:jc w:val="both"/>
        <w:rPr>
          <w:rFonts w:eastAsia="Calibri"/>
          <w:sz w:val="20"/>
          <w:szCs w:val="20"/>
          <w:lang w:eastAsia="en-US"/>
        </w:rPr>
      </w:pPr>
      <w:r w:rsidRPr="002F4403">
        <w:rPr>
          <w:rFonts w:eastAsia="Calibri"/>
          <w:sz w:val="20"/>
          <w:szCs w:val="20"/>
          <w:lang w:eastAsia="en-US"/>
        </w:rPr>
        <w:t>8</w:t>
      </w:r>
      <w:r w:rsidR="00280B36">
        <w:rPr>
          <w:rFonts w:eastAsia="Calibri"/>
          <w:sz w:val="20"/>
          <w:szCs w:val="20"/>
          <w:lang w:eastAsia="en-US"/>
        </w:rPr>
        <w:t>.</w:t>
      </w:r>
      <w:r w:rsidRPr="00AF408F">
        <w:rPr>
          <w:rFonts w:eastAsia="Calibri"/>
          <w:sz w:val="20"/>
          <w:szCs w:val="20"/>
          <w:lang w:eastAsia="en-US"/>
        </w:rPr>
        <w:t xml:space="preserve"> Кувшинов </w:t>
      </w:r>
      <w:proofErr w:type="spellStart"/>
      <w:r w:rsidRPr="00AF408F">
        <w:rPr>
          <w:rFonts w:eastAsia="Calibri"/>
          <w:sz w:val="20"/>
          <w:szCs w:val="20"/>
          <w:lang w:eastAsia="en-US"/>
        </w:rPr>
        <w:t>А.А</w:t>
      </w:r>
      <w:proofErr w:type="spellEnd"/>
      <w:r w:rsidRPr="00AF408F">
        <w:rPr>
          <w:rFonts w:eastAsia="Calibri"/>
          <w:sz w:val="20"/>
          <w:szCs w:val="20"/>
          <w:lang w:eastAsia="en-US"/>
        </w:rPr>
        <w:t xml:space="preserve">., Вахнина </w:t>
      </w:r>
      <w:proofErr w:type="spellStart"/>
      <w:r w:rsidRPr="00AF408F">
        <w:rPr>
          <w:rFonts w:eastAsia="Calibri"/>
          <w:sz w:val="20"/>
          <w:szCs w:val="20"/>
          <w:lang w:eastAsia="en-US"/>
        </w:rPr>
        <w:t>В.В</w:t>
      </w:r>
      <w:proofErr w:type="spellEnd"/>
      <w:r w:rsidRPr="00AF408F">
        <w:rPr>
          <w:rFonts w:eastAsia="Calibri"/>
          <w:sz w:val="20"/>
          <w:szCs w:val="20"/>
          <w:lang w:eastAsia="en-US"/>
        </w:rPr>
        <w:t xml:space="preserve">., Кузнецов </w:t>
      </w:r>
      <w:proofErr w:type="spellStart"/>
      <w:r w:rsidRPr="00AF408F">
        <w:rPr>
          <w:rFonts w:eastAsia="Calibri"/>
          <w:sz w:val="20"/>
          <w:szCs w:val="20"/>
          <w:lang w:eastAsia="en-US"/>
        </w:rPr>
        <w:t>В.А</w:t>
      </w:r>
      <w:proofErr w:type="spellEnd"/>
      <w:r w:rsidRPr="00AF408F">
        <w:rPr>
          <w:rFonts w:eastAsia="Calibri"/>
          <w:sz w:val="20"/>
          <w:szCs w:val="20"/>
          <w:lang w:eastAsia="en-US"/>
        </w:rPr>
        <w:t xml:space="preserve">., Рыбалко </w:t>
      </w:r>
      <w:proofErr w:type="spellStart"/>
      <w:r w:rsidRPr="00AF408F">
        <w:rPr>
          <w:rFonts w:eastAsia="Calibri"/>
          <w:sz w:val="20"/>
          <w:szCs w:val="20"/>
          <w:lang w:eastAsia="en-US"/>
        </w:rPr>
        <w:t>Т.А</w:t>
      </w:r>
      <w:proofErr w:type="spellEnd"/>
      <w:r w:rsidRPr="00AF408F">
        <w:rPr>
          <w:rFonts w:eastAsia="Calibri"/>
          <w:sz w:val="20"/>
          <w:szCs w:val="20"/>
          <w:lang w:eastAsia="en-US"/>
        </w:rPr>
        <w:t xml:space="preserve">., Зюзин </w:t>
      </w:r>
      <w:proofErr w:type="spellStart"/>
      <w:r w:rsidRPr="00AF408F">
        <w:rPr>
          <w:rFonts w:eastAsia="Calibri"/>
          <w:sz w:val="20"/>
          <w:szCs w:val="20"/>
          <w:lang w:eastAsia="en-US"/>
        </w:rPr>
        <w:t>М.О</w:t>
      </w:r>
      <w:proofErr w:type="spellEnd"/>
      <w:r w:rsidRPr="00AF408F">
        <w:rPr>
          <w:rFonts w:eastAsia="Calibri"/>
          <w:sz w:val="20"/>
          <w:szCs w:val="20"/>
          <w:lang w:eastAsia="en-US"/>
        </w:rPr>
        <w:t xml:space="preserve">. Анализ механизмов распространения геоиндуцированных токов в системообразующих электрических сетях различной топологии // Электричество, 2015, №5, </w:t>
      </w:r>
      <w:r w:rsidR="0004569F">
        <w:rPr>
          <w:rFonts w:eastAsia="Calibri"/>
          <w:sz w:val="20"/>
          <w:szCs w:val="20"/>
          <w:lang w:eastAsia="en-US"/>
        </w:rPr>
        <w:t>С</w:t>
      </w:r>
      <w:r w:rsidRPr="00AF408F">
        <w:rPr>
          <w:rFonts w:eastAsia="Calibri"/>
          <w:sz w:val="20"/>
          <w:szCs w:val="20"/>
          <w:lang w:eastAsia="en-US"/>
        </w:rPr>
        <w:t>.36–45.</w:t>
      </w:r>
    </w:p>
    <w:p w14:paraId="78FFE4BC" w14:textId="7D389595" w:rsidR="002123EB" w:rsidRPr="005A3506" w:rsidRDefault="00AF408F" w:rsidP="002F4403">
      <w:pPr>
        <w:ind w:firstLine="142"/>
        <w:jc w:val="both"/>
        <w:rPr>
          <w:sz w:val="20"/>
          <w:szCs w:val="20"/>
        </w:rPr>
      </w:pPr>
      <w:r w:rsidRPr="002F4403">
        <w:rPr>
          <w:sz w:val="20"/>
          <w:szCs w:val="20"/>
        </w:rPr>
        <w:t>9</w:t>
      </w:r>
      <w:r w:rsidR="00280B36">
        <w:rPr>
          <w:sz w:val="20"/>
          <w:szCs w:val="20"/>
        </w:rPr>
        <w:t>.</w:t>
      </w:r>
      <w:r w:rsidRPr="00AF408F">
        <w:rPr>
          <w:sz w:val="20"/>
          <w:szCs w:val="20"/>
        </w:rPr>
        <w:t xml:space="preserve"> ГОСТ 32144-2013. Электрическая энергия. Совместимость технических средств электромагнитная. Нормы</w:t>
      </w:r>
      <w:r w:rsidRPr="005A3506">
        <w:rPr>
          <w:sz w:val="20"/>
          <w:szCs w:val="20"/>
        </w:rPr>
        <w:t xml:space="preserve"> </w:t>
      </w:r>
      <w:r w:rsidRPr="00AF408F">
        <w:rPr>
          <w:sz w:val="20"/>
          <w:szCs w:val="20"/>
        </w:rPr>
        <w:t>качества</w:t>
      </w:r>
      <w:r w:rsidRPr="005A3506">
        <w:rPr>
          <w:sz w:val="20"/>
          <w:szCs w:val="20"/>
        </w:rPr>
        <w:t xml:space="preserve"> </w:t>
      </w:r>
      <w:r w:rsidRPr="00AF408F">
        <w:rPr>
          <w:sz w:val="20"/>
          <w:szCs w:val="20"/>
        </w:rPr>
        <w:t>электрической</w:t>
      </w:r>
      <w:r w:rsidRPr="005A3506">
        <w:rPr>
          <w:sz w:val="20"/>
          <w:szCs w:val="20"/>
        </w:rPr>
        <w:t xml:space="preserve"> </w:t>
      </w:r>
      <w:r w:rsidRPr="00AF408F">
        <w:rPr>
          <w:sz w:val="20"/>
          <w:szCs w:val="20"/>
        </w:rPr>
        <w:t>энергии</w:t>
      </w:r>
      <w:r w:rsidRPr="005A3506">
        <w:rPr>
          <w:sz w:val="20"/>
          <w:szCs w:val="20"/>
        </w:rPr>
        <w:t xml:space="preserve"> </w:t>
      </w:r>
      <w:r w:rsidRPr="00AF408F">
        <w:rPr>
          <w:sz w:val="20"/>
          <w:szCs w:val="20"/>
        </w:rPr>
        <w:t>в</w:t>
      </w:r>
      <w:r w:rsidRPr="005A3506">
        <w:rPr>
          <w:sz w:val="20"/>
          <w:szCs w:val="20"/>
        </w:rPr>
        <w:t xml:space="preserve"> </w:t>
      </w:r>
      <w:r w:rsidRPr="00AF408F">
        <w:rPr>
          <w:sz w:val="20"/>
          <w:szCs w:val="20"/>
        </w:rPr>
        <w:t>системах</w:t>
      </w:r>
      <w:r w:rsidRPr="005A3506">
        <w:rPr>
          <w:sz w:val="20"/>
          <w:szCs w:val="20"/>
        </w:rPr>
        <w:t xml:space="preserve"> </w:t>
      </w:r>
      <w:r w:rsidRPr="00AF408F">
        <w:rPr>
          <w:sz w:val="20"/>
          <w:szCs w:val="20"/>
        </w:rPr>
        <w:t>электроснабжения</w:t>
      </w:r>
      <w:r w:rsidRPr="005A3506">
        <w:rPr>
          <w:sz w:val="20"/>
          <w:szCs w:val="20"/>
        </w:rPr>
        <w:t xml:space="preserve"> </w:t>
      </w:r>
      <w:r w:rsidRPr="00AF408F">
        <w:rPr>
          <w:sz w:val="20"/>
          <w:szCs w:val="20"/>
        </w:rPr>
        <w:t>общего</w:t>
      </w:r>
      <w:r w:rsidRPr="005A3506">
        <w:rPr>
          <w:sz w:val="20"/>
          <w:szCs w:val="20"/>
        </w:rPr>
        <w:t xml:space="preserve"> </w:t>
      </w:r>
      <w:r w:rsidRPr="00AF408F">
        <w:rPr>
          <w:sz w:val="20"/>
          <w:szCs w:val="20"/>
        </w:rPr>
        <w:t>назначения</w:t>
      </w:r>
      <w:r w:rsidRPr="005A3506">
        <w:rPr>
          <w:sz w:val="20"/>
          <w:szCs w:val="20"/>
        </w:rPr>
        <w:t>.</w:t>
      </w:r>
    </w:p>
    <w:p w14:paraId="3155C206" w14:textId="77777777" w:rsidR="002123EB" w:rsidRPr="005A3506" w:rsidRDefault="002123EB">
      <w:pPr>
        <w:spacing w:after="160" w:line="259" w:lineRule="auto"/>
        <w:rPr>
          <w:sz w:val="20"/>
          <w:szCs w:val="20"/>
        </w:rPr>
      </w:pPr>
      <w:r w:rsidRPr="005A3506">
        <w:rPr>
          <w:sz w:val="20"/>
          <w:szCs w:val="20"/>
        </w:rPr>
        <w:br w:type="page"/>
      </w:r>
    </w:p>
    <w:p w14:paraId="42011B13" w14:textId="77777777" w:rsidR="002123EB" w:rsidRPr="008F195D" w:rsidRDefault="002123EB" w:rsidP="002123EB">
      <w:pPr>
        <w:jc w:val="both"/>
        <w:rPr>
          <w:b/>
          <w:sz w:val="20"/>
          <w:szCs w:val="20"/>
          <w:u w:val="single"/>
          <w:lang w:eastAsia="en-US"/>
        </w:rPr>
      </w:pPr>
      <w:r w:rsidRPr="008F195D">
        <w:rPr>
          <w:b/>
          <w:sz w:val="20"/>
          <w:szCs w:val="20"/>
          <w:u w:val="single"/>
          <w:lang w:eastAsia="en-US"/>
        </w:rPr>
        <w:t>Информация о статье на английском языке</w:t>
      </w:r>
    </w:p>
    <w:p w14:paraId="3F7878E6" w14:textId="77777777" w:rsidR="002123EB" w:rsidRDefault="002123EB" w:rsidP="002123EB">
      <w:pPr>
        <w:jc w:val="both"/>
        <w:rPr>
          <w:sz w:val="20"/>
          <w:szCs w:val="20"/>
          <w:lang w:eastAsia="en-US"/>
        </w:rPr>
      </w:pPr>
    </w:p>
    <w:p w14:paraId="09C256CC" w14:textId="77777777" w:rsidR="005A3506" w:rsidRPr="00997816" w:rsidRDefault="002123EB" w:rsidP="002123EB">
      <w:pPr>
        <w:jc w:val="both"/>
        <w:rPr>
          <w:b/>
          <w:sz w:val="20"/>
          <w:szCs w:val="20"/>
          <w:lang w:val="en-US" w:eastAsia="en-US"/>
        </w:rPr>
      </w:pPr>
      <w:r w:rsidRPr="002123EB">
        <w:rPr>
          <w:b/>
          <w:sz w:val="20"/>
          <w:szCs w:val="20"/>
          <w:lang w:val="en-US" w:eastAsia="en-US"/>
        </w:rPr>
        <w:t xml:space="preserve">DETERMINING REQUIREMENTS TO A SYSTEM FOR MONITORING </w:t>
      </w:r>
      <w:proofErr w:type="spellStart"/>
      <w:r w:rsidRPr="002123EB">
        <w:rPr>
          <w:b/>
          <w:sz w:val="20"/>
          <w:szCs w:val="20"/>
          <w:lang w:val="en-US" w:eastAsia="en-US"/>
        </w:rPr>
        <w:t>GEOINDUCED</w:t>
      </w:r>
      <w:proofErr w:type="spellEnd"/>
      <w:r w:rsidRPr="002123EB">
        <w:rPr>
          <w:b/>
          <w:sz w:val="20"/>
          <w:szCs w:val="20"/>
          <w:lang w:val="en-US" w:eastAsia="en-US"/>
        </w:rPr>
        <w:t xml:space="preserve"> CURRENTS IN ELECTRIC NETWORKS</w:t>
      </w:r>
    </w:p>
    <w:p w14:paraId="5188E1F4" w14:textId="0D8B26A6" w:rsidR="002123EB" w:rsidRPr="00997816" w:rsidRDefault="002123EB" w:rsidP="002123EB">
      <w:pPr>
        <w:jc w:val="both"/>
        <w:rPr>
          <w:sz w:val="20"/>
          <w:szCs w:val="20"/>
          <w:lang w:val="en-US" w:eastAsia="en-US"/>
        </w:rPr>
      </w:pPr>
      <w:proofErr w:type="spellStart"/>
      <w:r w:rsidRPr="00987FFB">
        <w:rPr>
          <w:sz w:val="20"/>
          <w:szCs w:val="20"/>
          <w:lang w:val="en-US" w:eastAsia="en-US"/>
        </w:rPr>
        <w:t>Vakhnina</w:t>
      </w:r>
      <w:proofErr w:type="spellEnd"/>
      <w:r w:rsidRPr="00997816">
        <w:rPr>
          <w:sz w:val="20"/>
          <w:szCs w:val="20"/>
          <w:lang w:val="en-US" w:eastAsia="en-US"/>
        </w:rPr>
        <w:t xml:space="preserve"> </w:t>
      </w:r>
      <w:r w:rsidRPr="00987FFB">
        <w:rPr>
          <w:sz w:val="20"/>
          <w:szCs w:val="20"/>
          <w:lang w:val="en-US" w:eastAsia="en-US"/>
        </w:rPr>
        <w:t>V</w:t>
      </w:r>
      <w:r w:rsidRPr="00997816">
        <w:rPr>
          <w:sz w:val="20"/>
          <w:szCs w:val="20"/>
          <w:lang w:val="en-US" w:eastAsia="en-US"/>
        </w:rPr>
        <w:t>.</w:t>
      </w:r>
      <w:r w:rsidRPr="00987FFB">
        <w:rPr>
          <w:sz w:val="20"/>
          <w:szCs w:val="20"/>
          <w:lang w:val="en-US" w:eastAsia="en-US"/>
        </w:rPr>
        <w:t>V</w:t>
      </w:r>
      <w:r w:rsidRPr="00997816">
        <w:rPr>
          <w:sz w:val="20"/>
          <w:szCs w:val="20"/>
          <w:lang w:val="en-US" w:eastAsia="en-US"/>
        </w:rPr>
        <w:t xml:space="preserve">., </w:t>
      </w:r>
      <w:proofErr w:type="spellStart"/>
      <w:r w:rsidRPr="00987FFB">
        <w:rPr>
          <w:sz w:val="20"/>
          <w:szCs w:val="20"/>
          <w:lang w:val="en-US" w:eastAsia="en-US"/>
        </w:rPr>
        <w:t>Kuvshinov</w:t>
      </w:r>
      <w:proofErr w:type="spellEnd"/>
      <w:r w:rsidRPr="00997816">
        <w:rPr>
          <w:sz w:val="20"/>
          <w:szCs w:val="20"/>
          <w:lang w:val="en-US" w:eastAsia="en-US"/>
        </w:rPr>
        <w:t xml:space="preserve"> </w:t>
      </w:r>
      <w:r w:rsidRPr="00987FFB">
        <w:rPr>
          <w:sz w:val="20"/>
          <w:szCs w:val="20"/>
          <w:lang w:val="en-US" w:eastAsia="en-US"/>
        </w:rPr>
        <w:t>A</w:t>
      </w:r>
      <w:r w:rsidRPr="00997816">
        <w:rPr>
          <w:sz w:val="20"/>
          <w:szCs w:val="20"/>
          <w:lang w:val="en-US" w:eastAsia="en-US"/>
        </w:rPr>
        <w:t>.</w:t>
      </w:r>
      <w:r w:rsidRPr="00987FFB">
        <w:rPr>
          <w:sz w:val="20"/>
          <w:szCs w:val="20"/>
          <w:lang w:val="en-US" w:eastAsia="en-US"/>
        </w:rPr>
        <w:t>A</w:t>
      </w:r>
      <w:r w:rsidRPr="00997816">
        <w:rPr>
          <w:sz w:val="20"/>
          <w:szCs w:val="20"/>
          <w:lang w:val="en-US" w:eastAsia="en-US"/>
        </w:rPr>
        <w:t xml:space="preserve">., </w:t>
      </w:r>
      <w:r w:rsidRPr="00987FFB">
        <w:rPr>
          <w:sz w:val="20"/>
          <w:szCs w:val="20"/>
          <w:lang w:val="en-US" w:eastAsia="en-US"/>
        </w:rPr>
        <w:t>Chernenko</w:t>
      </w:r>
      <w:r w:rsidRPr="00997816">
        <w:rPr>
          <w:sz w:val="20"/>
          <w:szCs w:val="20"/>
          <w:lang w:val="en-US" w:eastAsia="en-US"/>
        </w:rPr>
        <w:t xml:space="preserve"> </w:t>
      </w:r>
      <w:proofErr w:type="spellStart"/>
      <w:r w:rsidRPr="00987FFB">
        <w:rPr>
          <w:sz w:val="20"/>
          <w:szCs w:val="20"/>
          <w:lang w:val="en-US" w:eastAsia="en-US"/>
        </w:rPr>
        <w:t>A</w:t>
      </w:r>
      <w:r w:rsidRPr="00997816">
        <w:rPr>
          <w:sz w:val="20"/>
          <w:szCs w:val="20"/>
          <w:lang w:val="en-US" w:eastAsia="en-US"/>
        </w:rPr>
        <w:t>.</w:t>
      </w:r>
      <w:r w:rsidRPr="00987FFB">
        <w:rPr>
          <w:sz w:val="20"/>
          <w:szCs w:val="20"/>
          <w:lang w:val="en-US" w:eastAsia="en-US"/>
        </w:rPr>
        <w:t>N</w:t>
      </w:r>
      <w:proofErr w:type="spellEnd"/>
      <w:r w:rsidRPr="00997816">
        <w:rPr>
          <w:sz w:val="20"/>
          <w:szCs w:val="20"/>
          <w:lang w:val="en-US" w:eastAsia="en-US"/>
        </w:rPr>
        <w:t xml:space="preserve">., </w:t>
      </w:r>
      <w:proofErr w:type="spellStart"/>
      <w:r w:rsidRPr="00987FFB">
        <w:rPr>
          <w:sz w:val="20"/>
          <w:szCs w:val="20"/>
          <w:lang w:val="en-US" w:eastAsia="en-US"/>
        </w:rPr>
        <w:t>Pudovinnikov</w:t>
      </w:r>
      <w:proofErr w:type="spellEnd"/>
      <w:r w:rsidRPr="00997816">
        <w:rPr>
          <w:sz w:val="20"/>
          <w:szCs w:val="20"/>
          <w:lang w:val="en-US" w:eastAsia="en-US"/>
        </w:rPr>
        <w:t xml:space="preserve"> </w:t>
      </w:r>
      <w:r w:rsidRPr="00987FFB">
        <w:rPr>
          <w:sz w:val="20"/>
          <w:szCs w:val="20"/>
          <w:lang w:val="en-US" w:eastAsia="en-US"/>
        </w:rPr>
        <w:t>R</w:t>
      </w:r>
      <w:r w:rsidRPr="00997816">
        <w:rPr>
          <w:sz w:val="20"/>
          <w:szCs w:val="20"/>
          <w:lang w:val="en-US" w:eastAsia="en-US"/>
        </w:rPr>
        <w:t>.</w:t>
      </w:r>
      <w:r w:rsidRPr="00987FFB">
        <w:rPr>
          <w:sz w:val="20"/>
          <w:szCs w:val="20"/>
          <w:lang w:val="en-US" w:eastAsia="en-US"/>
        </w:rPr>
        <w:t>N</w:t>
      </w:r>
      <w:r w:rsidRPr="00997816">
        <w:rPr>
          <w:sz w:val="20"/>
          <w:szCs w:val="20"/>
          <w:lang w:val="en-US" w:eastAsia="en-US"/>
        </w:rPr>
        <w:t xml:space="preserve">., </w:t>
      </w:r>
      <w:proofErr w:type="spellStart"/>
      <w:r w:rsidRPr="00987FFB">
        <w:rPr>
          <w:sz w:val="20"/>
          <w:szCs w:val="20"/>
          <w:lang w:val="en-US" w:eastAsia="en-US"/>
        </w:rPr>
        <w:t>Fedyai</w:t>
      </w:r>
      <w:proofErr w:type="spellEnd"/>
      <w:r w:rsidRPr="00997816">
        <w:rPr>
          <w:sz w:val="20"/>
          <w:szCs w:val="20"/>
          <w:lang w:val="en-US" w:eastAsia="en-US"/>
        </w:rPr>
        <w:t xml:space="preserve"> </w:t>
      </w:r>
      <w:r w:rsidRPr="00987FFB">
        <w:rPr>
          <w:sz w:val="20"/>
          <w:szCs w:val="20"/>
          <w:lang w:val="en-US" w:eastAsia="en-US"/>
        </w:rPr>
        <w:t>O</w:t>
      </w:r>
      <w:r w:rsidRPr="00997816">
        <w:rPr>
          <w:sz w:val="20"/>
          <w:szCs w:val="20"/>
          <w:lang w:val="en-US" w:eastAsia="en-US"/>
        </w:rPr>
        <w:t>.</w:t>
      </w:r>
      <w:r w:rsidRPr="00987FFB">
        <w:rPr>
          <w:sz w:val="20"/>
          <w:szCs w:val="20"/>
          <w:lang w:val="en-US" w:eastAsia="en-US"/>
        </w:rPr>
        <w:t>V</w:t>
      </w:r>
      <w:r w:rsidRPr="00997816">
        <w:rPr>
          <w:sz w:val="20"/>
          <w:szCs w:val="20"/>
          <w:lang w:val="en-US" w:eastAsia="en-US"/>
        </w:rPr>
        <w:t>.</w:t>
      </w:r>
    </w:p>
    <w:p w14:paraId="0B513C63" w14:textId="77777777" w:rsidR="002123EB" w:rsidRPr="00997816" w:rsidRDefault="002123EB" w:rsidP="002123EB">
      <w:pPr>
        <w:jc w:val="both"/>
        <w:rPr>
          <w:sz w:val="20"/>
          <w:szCs w:val="20"/>
          <w:lang w:val="en-US" w:eastAsia="en-US"/>
        </w:rPr>
      </w:pPr>
    </w:p>
    <w:p w14:paraId="46866746" w14:textId="77777777" w:rsidR="002123EB" w:rsidRPr="00987FFB" w:rsidRDefault="002123EB" w:rsidP="002123EB">
      <w:pPr>
        <w:jc w:val="both"/>
        <w:rPr>
          <w:sz w:val="20"/>
          <w:szCs w:val="20"/>
          <w:lang w:val="en-US" w:eastAsia="en-US"/>
        </w:rPr>
      </w:pPr>
      <w:r w:rsidRPr="00987FFB">
        <w:rPr>
          <w:sz w:val="20"/>
          <w:szCs w:val="20"/>
          <w:lang w:val="en-US" w:eastAsia="en-US"/>
        </w:rPr>
        <w:t>Togliatti State University, Togliatti, Russia</w:t>
      </w:r>
    </w:p>
    <w:p w14:paraId="2D34C2F2" w14:textId="77777777" w:rsidR="002123EB" w:rsidRPr="00987FFB" w:rsidRDefault="002123EB" w:rsidP="002123EB">
      <w:pPr>
        <w:jc w:val="both"/>
        <w:rPr>
          <w:sz w:val="20"/>
          <w:szCs w:val="20"/>
          <w:lang w:val="en-US" w:eastAsia="en-US"/>
        </w:rPr>
      </w:pPr>
      <w:proofErr w:type="spellStart"/>
      <w:r w:rsidRPr="00987FFB">
        <w:rPr>
          <w:sz w:val="20"/>
          <w:szCs w:val="20"/>
          <w:lang w:val="en-US" w:eastAsia="en-US"/>
        </w:rPr>
        <w:t>VVVahnina@yandex.ru</w:t>
      </w:r>
      <w:proofErr w:type="spellEnd"/>
    </w:p>
    <w:p w14:paraId="5C278193" w14:textId="77777777" w:rsidR="002123EB" w:rsidRPr="00987FFB" w:rsidRDefault="002123EB" w:rsidP="002123EB">
      <w:pPr>
        <w:jc w:val="both"/>
        <w:rPr>
          <w:sz w:val="20"/>
          <w:szCs w:val="20"/>
          <w:lang w:val="en-US" w:eastAsia="en-US"/>
        </w:rPr>
      </w:pPr>
    </w:p>
    <w:p w14:paraId="72A2BF10" w14:textId="2F34632C" w:rsidR="002123EB" w:rsidRPr="00987FFB" w:rsidRDefault="002123EB" w:rsidP="002123EB">
      <w:pPr>
        <w:jc w:val="both"/>
        <w:rPr>
          <w:sz w:val="20"/>
          <w:szCs w:val="20"/>
          <w:lang w:val="en-US" w:eastAsia="en-US"/>
        </w:rPr>
      </w:pPr>
      <w:r w:rsidRPr="005A3506">
        <w:rPr>
          <w:b/>
          <w:sz w:val="20"/>
          <w:szCs w:val="20"/>
          <w:lang w:val="en-US" w:eastAsia="en-US"/>
        </w:rPr>
        <w:t>Abstract.</w:t>
      </w:r>
      <w:r w:rsidRPr="005A3506">
        <w:rPr>
          <w:sz w:val="20"/>
          <w:szCs w:val="20"/>
          <w:lang w:val="en-US" w:eastAsia="en-US"/>
        </w:rPr>
        <w:t xml:space="preserve"> </w:t>
      </w:r>
      <w:r w:rsidR="005A3506" w:rsidRPr="00997816">
        <w:rPr>
          <w:sz w:val="20"/>
          <w:szCs w:val="20"/>
          <w:lang w:val="en-US" w:eastAsia="en-US"/>
        </w:rPr>
        <w:t>The article proposes to register geo-induced currents in critical nodes of the electric grid, the choice of which is determined by the grid topology and the design of the magnetic system of power transformers. The analysis of existing monitoring systems with different types of measuring transducers with a Hall element installed in the neutral of a power transformer is performed. A quantitative assessment of geo-induced currents in the neutrals of power transformers is given depending on the intensity of geomagnetic disturbances and the parameters of the electric grid. The choice of the conversion limit of the measuring transducer with a Hall element is substantiated, which should be carried out taking into account not only the expected value of geo-induced currents, but also background currents caused by asymmetry and non-</w:t>
      </w:r>
      <w:proofErr w:type="spellStart"/>
      <w:r w:rsidR="005A3506" w:rsidRPr="00997816">
        <w:rPr>
          <w:sz w:val="20"/>
          <w:szCs w:val="20"/>
          <w:lang w:val="en-US" w:eastAsia="en-US"/>
        </w:rPr>
        <w:t>sinusoidality</w:t>
      </w:r>
      <w:proofErr w:type="spellEnd"/>
      <w:r w:rsidR="005A3506" w:rsidRPr="00997816">
        <w:rPr>
          <w:sz w:val="20"/>
          <w:szCs w:val="20"/>
          <w:lang w:val="en-US" w:eastAsia="en-US"/>
        </w:rPr>
        <w:t xml:space="preserve"> of phase voltages in the switching node of the power transformer. To monitor geo-induced currents in the neutral of a power transformer, it is proposed to use a direct amplification measuring transducer with a Hall element, the permissible overload of which is sufficient for the safe flow of single-phase short-circuit currents.</w:t>
      </w:r>
    </w:p>
    <w:p w14:paraId="6888C0C5" w14:textId="77777777" w:rsidR="002123EB" w:rsidRPr="00987FFB" w:rsidRDefault="002123EB" w:rsidP="002123EB">
      <w:pPr>
        <w:jc w:val="both"/>
        <w:rPr>
          <w:sz w:val="20"/>
          <w:szCs w:val="20"/>
          <w:lang w:val="en-US" w:eastAsia="en-US"/>
        </w:rPr>
      </w:pPr>
    </w:p>
    <w:p w14:paraId="1FAC3C44" w14:textId="77777777" w:rsidR="002123EB" w:rsidRPr="008F195D" w:rsidRDefault="002123EB" w:rsidP="002123EB">
      <w:pPr>
        <w:jc w:val="both"/>
        <w:rPr>
          <w:b/>
          <w:sz w:val="20"/>
          <w:szCs w:val="20"/>
          <w:u w:val="single"/>
        </w:rPr>
      </w:pPr>
      <w:r w:rsidRPr="008F195D">
        <w:rPr>
          <w:b/>
          <w:sz w:val="20"/>
          <w:szCs w:val="20"/>
          <w:u w:val="single"/>
        </w:rPr>
        <w:t xml:space="preserve">Список авторов с указанием места работы и </w:t>
      </w:r>
      <w:proofErr w:type="spellStart"/>
      <w:r w:rsidRPr="008F195D">
        <w:rPr>
          <w:b/>
          <w:sz w:val="20"/>
          <w:szCs w:val="20"/>
          <w:u w:val="single"/>
        </w:rPr>
        <w:t>e-mail</w:t>
      </w:r>
      <w:proofErr w:type="spellEnd"/>
    </w:p>
    <w:p w14:paraId="258D7676" w14:textId="77777777" w:rsidR="00280B36" w:rsidRDefault="00280B36" w:rsidP="00280B36">
      <w:pPr>
        <w:jc w:val="both"/>
        <w:rPr>
          <w:sz w:val="20"/>
          <w:szCs w:val="20"/>
          <w:lang w:eastAsia="en-US"/>
        </w:rPr>
      </w:pPr>
      <w:r w:rsidRPr="00375E39">
        <w:rPr>
          <w:sz w:val="20"/>
          <w:szCs w:val="20"/>
          <w:lang w:eastAsia="en-US"/>
        </w:rPr>
        <w:t>Вахнина В</w:t>
      </w:r>
      <w:r>
        <w:rPr>
          <w:sz w:val="20"/>
          <w:szCs w:val="20"/>
          <w:lang w:eastAsia="en-US"/>
        </w:rPr>
        <w:t>ера Васильевна</w:t>
      </w:r>
      <w:r w:rsidRPr="00375E39">
        <w:rPr>
          <w:sz w:val="20"/>
          <w:szCs w:val="20"/>
          <w:lang w:eastAsia="en-US"/>
        </w:rPr>
        <w:t>,</w:t>
      </w:r>
      <w:r>
        <w:rPr>
          <w:sz w:val="20"/>
          <w:szCs w:val="20"/>
          <w:lang w:eastAsia="en-US"/>
        </w:rPr>
        <w:t xml:space="preserve"> Тольяттинский государственный университет, з</w:t>
      </w:r>
      <w:r w:rsidRPr="00DE7E39">
        <w:rPr>
          <w:sz w:val="20"/>
          <w:szCs w:val="20"/>
          <w:lang w:eastAsia="en-US"/>
        </w:rPr>
        <w:t>аведующий кафедрой</w:t>
      </w:r>
      <w:r>
        <w:rPr>
          <w:sz w:val="20"/>
          <w:szCs w:val="20"/>
          <w:lang w:eastAsia="en-US"/>
        </w:rPr>
        <w:t xml:space="preserve"> </w:t>
      </w:r>
      <w:r w:rsidRPr="00DE7E39">
        <w:rPr>
          <w:sz w:val="20"/>
          <w:szCs w:val="20"/>
          <w:lang w:eastAsia="en-US"/>
        </w:rPr>
        <w:t>"Электроснабжение и электротехника"</w:t>
      </w:r>
      <w:r>
        <w:rPr>
          <w:sz w:val="20"/>
          <w:szCs w:val="20"/>
          <w:lang w:eastAsia="en-US"/>
        </w:rPr>
        <w:t xml:space="preserve">, профессор, </w:t>
      </w:r>
      <w:proofErr w:type="spellStart"/>
      <w:r w:rsidRPr="00FC7726">
        <w:rPr>
          <w:sz w:val="20"/>
          <w:szCs w:val="20"/>
        </w:rPr>
        <w:t>e-mail</w:t>
      </w:r>
      <w:proofErr w:type="spellEnd"/>
      <w:r>
        <w:rPr>
          <w:sz w:val="20"/>
          <w:szCs w:val="20"/>
        </w:rPr>
        <w:t xml:space="preserve">: </w:t>
      </w:r>
      <w:proofErr w:type="spellStart"/>
      <w:r w:rsidRPr="00DE7E39">
        <w:rPr>
          <w:sz w:val="20"/>
          <w:szCs w:val="20"/>
          <w:lang w:eastAsia="en-US"/>
        </w:rPr>
        <w:t>VVVahnina@yandex.ru</w:t>
      </w:r>
      <w:proofErr w:type="spellEnd"/>
    </w:p>
    <w:p w14:paraId="2D90CC94" w14:textId="77777777" w:rsidR="002123EB" w:rsidRPr="00FC7726" w:rsidRDefault="002123EB" w:rsidP="002123EB">
      <w:pPr>
        <w:jc w:val="both"/>
        <w:rPr>
          <w:sz w:val="20"/>
          <w:szCs w:val="20"/>
          <w:lang w:eastAsia="en-US"/>
        </w:rPr>
      </w:pPr>
      <w:r w:rsidRPr="00375E39">
        <w:rPr>
          <w:sz w:val="20"/>
          <w:szCs w:val="20"/>
          <w:lang w:eastAsia="en-US"/>
        </w:rPr>
        <w:t>Кувшинов А</w:t>
      </w:r>
      <w:r>
        <w:rPr>
          <w:sz w:val="20"/>
          <w:szCs w:val="20"/>
          <w:lang w:eastAsia="en-US"/>
        </w:rPr>
        <w:t xml:space="preserve">лексей </w:t>
      </w:r>
      <w:r w:rsidRPr="00375E39">
        <w:rPr>
          <w:sz w:val="20"/>
          <w:szCs w:val="20"/>
          <w:lang w:eastAsia="en-US"/>
        </w:rPr>
        <w:t>А</w:t>
      </w:r>
      <w:r>
        <w:rPr>
          <w:sz w:val="20"/>
          <w:szCs w:val="20"/>
          <w:lang w:eastAsia="en-US"/>
        </w:rPr>
        <w:t>лексеевич</w:t>
      </w:r>
      <w:r w:rsidRPr="00375E39">
        <w:rPr>
          <w:sz w:val="20"/>
          <w:szCs w:val="20"/>
          <w:lang w:eastAsia="en-US"/>
        </w:rPr>
        <w:t>,</w:t>
      </w:r>
      <w:r>
        <w:rPr>
          <w:sz w:val="20"/>
          <w:szCs w:val="20"/>
          <w:lang w:eastAsia="en-US"/>
        </w:rPr>
        <w:t xml:space="preserve"> Тольяттинский государственный университет, п</w:t>
      </w:r>
      <w:r w:rsidRPr="00DE7E39">
        <w:rPr>
          <w:sz w:val="20"/>
          <w:szCs w:val="20"/>
          <w:lang w:eastAsia="en-US"/>
        </w:rPr>
        <w:t>рофессор</w:t>
      </w:r>
      <w:r>
        <w:rPr>
          <w:sz w:val="20"/>
          <w:szCs w:val="20"/>
          <w:lang w:eastAsia="en-US"/>
        </w:rPr>
        <w:t xml:space="preserve"> кафедры </w:t>
      </w:r>
      <w:r w:rsidRPr="00DE7E39">
        <w:rPr>
          <w:sz w:val="20"/>
          <w:szCs w:val="20"/>
          <w:lang w:eastAsia="en-US"/>
        </w:rPr>
        <w:t>"Электроснабжение и электротехника"</w:t>
      </w:r>
      <w:r>
        <w:rPr>
          <w:sz w:val="20"/>
          <w:szCs w:val="20"/>
          <w:lang w:eastAsia="en-US"/>
        </w:rPr>
        <w:t xml:space="preserve">, </w:t>
      </w:r>
      <w:proofErr w:type="spellStart"/>
      <w:r w:rsidRPr="00FC7726">
        <w:rPr>
          <w:sz w:val="20"/>
          <w:szCs w:val="20"/>
        </w:rPr>
        <w:t>e-mail</w:t>
      </w:r>
      <w:proofErr w:type="spellEnd"/>
      <w:r>
        <w:rPr>
          <w:sz w:val="20"/>
          <w:szCs w:val="20"/>
        </w:rPr>
        <w:t xml:space="preserve">: </w:t>
      </w:r>
      <w:proofErr w:type="spellStart"/>
      <w:r w:rsidRPr="00DE7E39">
        <w:rPr>
          <w:sz w:val="20"/>
          <w:szCs w:val="20"/>
          <w:lang w:eastAsia="en-US"/>
        </w:rPr>
        <w:t>alekseikuvshinov@yandex.ru</w:t>
      </w:r>
      <w:proofErr w:type="spellEnd"/>
    </w:p>
    <w:p w14:paraId="09119B8E" w14:textId="77777777" w:rsidR="002123EB" w:rsidRPr="00DE7E39" w:rsidRDefault="002123EB" w:rsidP="002123EB">
      <w:pPr>
        <w:jc w:val="both"/>
        <w:rPr>
          <w:sz w:val="20"/>
          <w:szCs w:val="20"/>
          <w:lang w:eastAsia="en-US"/>
        </w:rPr>
      </w:pPr>
      <w:r w:rsidRPr="00375E39">
        <w:rPr>
          <w:sz w:val="20"/>
          <w:szCs w:val="20"/>
          <w:lang w:eastAsia="en-US"/>
        </w:rPr>
        <w:t>Черненко А</w:t>
      </w:r>
      <w:r>
        <w:rPr>
          <w:sz w:val="20"/>
          <w:szCs w:val="20"/>
          <w:lang w:eastAsia="en-US"/>
        </w:rPr>
        <w:t xml:space="preserve">лексей </w:t>
      </w:r>
      <w:r w:rsidRPr="00375E39">
        <w:rPr>
          <w:sz w:val="20"/>
          <w:szCs w:val="20"/>
          <w:lang w:eastAsia="en-US"/>
        </w:rPr>
        <w:t>Н</w:t>
      </w:r>
      <w:r>
        <w:rPr>
          <w:sz w:val="20"/>
          <w:szCs w:val="20"/>
          <w:lang w:eastAsia="en-US"/>
        </w:rPr>
        <w:t>иколаевич</w:t>
      </w:r>
      <w:r w:rsidRPr="00375E39">
        <w:rPr>
          <w:sz w:val="20"/>
          <w:szCs w:val="20"/>
          <w:lang w:eastAsia="en-US"/>
        </w:rPr>
        <w:t xml:space="preserve">, </w:t>
      </w:r>
      <w:r>
        <w:rPr>
          <w:sz w:val="20"/>
          <w:szCs w:val="20"/>
          <w:lang w:eastAsia="en-US"/>
        </w:rPr>
        <w:t xml:space="preserve">Тольяттинский государственный университет, доцент кафедры </w:t>
      </w:r>
      <w:r w:rsidRPr="00DE7E39">
        <w:rPr>
          <w:sz w:val="20"/>
          <w:szCs w:val="20"/>
          <w:lang w:eastAsia="en-US"/>
        </w:rPr>
        <w:t>"Электроснабжение и электротехника"</w:t>
      </w:r>
      <w:r>
        <w:rPr>
          <w:sz w:val="20"/>
          <w:szCs w:val="20"/>
          <w:lang w:eastAsia="en-US"/>
        </w:rPr>
        <w:t xml:space="preserve">, </w:t>
      </w:r>
      <w:proofErr w:type="spellStart"/>
      <w:r w:rsidRPr="00FC7726">
        <w:rPr>
          <w:sz w:val="20"/>
          <w:szCs w:val="20"/>
        </w:rPr>
        <w:t>e-mail</w:t>
      </w:r>
      <w:proofErr w:type="spellEnd"/>
      <w:r>
        <w:rPr>
          <w:sz w:val="20"/>
          <w:szCs w:val="20"/>
        </w:rPr>
        <w:t xml:space="preserve">: </w:t>
      </w:r>
      <w:proofErr w:type="spellStart"/>
      <w:r>
        <w:rPr>
          <w:sz w:val="20"/>
          <w:szCs w:val="20"/>
          <w:lang w:val="en-US" w:eastAsia="en-US"/>
        </w:rPr>
        <w:t>tchernenko</w:t>
      </w:r>
      <w:proofErr w:type="spellEnd"/>
      <w:r w:rsidRPr="00DE7E39">
        <w:rPr>
          <w:sz w:val="20"/>
          <w:szCs w:val="20"/>
          <w:lang w:eastAsia="en-US"/>
        </w:rPr>
        <w:t>83@</w:t>
      </w:r>
      <w:proofErr w:type="spellStart"/>
      <w:r>
        <w:rPr>
          <w:sz w:val="20"/>
          <w:szCs w:val="20"/>
          <w:lang w:val="en-US" w:eastAsia="en-US"/>
        </w:rPr>
        <w:t>yandex</w:t>
      </w:r>
      <w:proofErr w:type="spellEnd"/>
      <w:r w:rsidRPr="00DE7E39">
        <w:rPr>
          <w:sz w:val="20"/>
          <w:szCs w:val="20"/>
          <w:lang w:eastAsia="en-US"/>
        </w:rPr>
        <w:t>.</w:t>
      </w:r>
      <w:proofErr w:type="spellStart"/>
      <w:r>
        <w:rPr>
          <w:sz w:val="20"/>
          <w:szCs w:val="20"/>
          <w:lang w:val="en-US" w:eastAsia="en-US"/>
        </w:rPr>
        <w:t>ru</w:t>
      </w:r>
      <w:proofErr w:type="spellEnd"/>
    </w:p>
    <w:p w14:paraId="72AEAE5C" w14:textId="77777777" w:rsidR="00280B36" w:rsidRPr="008F195D" w:rsidRDefault="00280B36" w:rsidP="00280B36">
      <w:pPr>
        <w:jc w:val="both"/>
        <w:rPr>
          <w:sz w:val="20"/>
          <w:szCs w:val="20"/>
        </w:rPr>
      </w:pPr>
      <w:r w:rsidRPr="00375E39">
        <w:rPr>
          <w:sz w:val="20"/>
          <w:szCs w:val="20"/>
          <w:lang w:eastAsia="en-US"/>
        </w:rPr>
        <w:t>Пудовинников Р</w:t>
      </w:r>
      <w:r>
        <w:rPr>
          <w:sz w:val="20"/>
          <w:szCs w:val="20"/>
          <w:lang w:eastAsia="en-US"/>
        </w:rPr>
        <w:t xml:space="preserve">оман </w:t>
      </w:r>
      <w:r w:rsidRPr="00375E39">
        <w:rPr>
          <w:sz w:val="20"/>
          <w:szCs w:val="20"/>
          <w:lang w:eastAsia="en-US"/>
        </w:rPr>
        <w:t>Н</w:t>
      </w:r>
      <w:r>
        <w:rPr>
          <w:sz w:val="20"/>
          <w:szCs w:val="20"/>
          <w:lang w:eastAsia="en-US"/>
        </w:rPr>
        <w:t xml:space="preserve">иколаевич, Тольяттинский государственный университет, доцент кафедры </w:t>
      </w:r>
      <w:r w:rsidRPr="00DE7E39">
        <w:rPr>
          <w:sz w:val="20"/>
          <w:szCs w:val="20"/>
          <w:lang w:eastAsia="en-US"/>
        </w:rPr>
        <w:t>"Электроснабжение и электротехника"</w:t>
      </w:r>
      <w:r>
        <w:rPr>
          <w:sz w:val="20"/>
          <w:szCs w:val="20"/>
          <w:lang w:eastAsia="en-US"/>
        </w:rPr>
        <w:t>,</w:t>
      </w:r>
      <w:r w:rsidRPr="008F195D">
        <w:rPr>
          <w:sz w:val="20"/>
          <w:szCs w:val="20"/>
        </w:rPr>
        <w:t xml:space="preserve"> </w:t>
      </w:r>
      <w:proofErr w:type="spellStart"/>
      <w:r w:rsidRPr="00FC7726">
        <w:rPr>
          <w:sz w:val="20"/>
          <w:szCs w:val="20"/>
        </w:rPr>
        <w:t>e-mail</w:t>
      </w:r>
      <w:proofErr w:type="spellEnd"/>
      <w:r>
        <w:rPr>
          <w:sz w:val="20"/>
          <w:szCs w:val="20"/>
        </w:rPr>
        <w:t xml:space="preserve">: </w:t>
      </w:r>
      <w:proofErr w:type="spellStart"/>
      <w:r w:rsidRPr="008F195D">
        <w:rPr>
          <w:sz w:val="20"/>
          <w:szCs w:val="20"/>
          <w:lang w:eastAsia="en-US"/>
        </w:rPr>
        <w:t>roman73-73@yandex.ru</w:t>
      </w:r>
      <w:proofErr w:type="spellEnd"/>
    </w:p>
    <w:p w14:paraId="47357F1A" w14:textId="77777777" w:rsidR="002123EB" w:rsidRDefault="002123EB" w:rsidP="002123EB">
      <w:pPr>
        <w:jc w:val="both"/>
        <w:rPr>
          <w:sz w:val="20"/>
          <w:szCs w:val="20"/>
          <w:lang w:eastAsia="en-US"/>
        </w:rPr>
      </w:pPr>
      <w:proofErr w:type="spellStart"/>
      <w:r w:rsidRPr="00375E39">
        <w:rPr>
          <w:sz w:val="20"/>
          <w:szCs w:val="20"/>
          <w:lang w:eastAsia="en-US"/>
        </w:rPr>
        <w:t>Федяй</w:t>
      </w:r>
      <w:proofErr w:type="spellEnd"/>
      <w:r w:rsidRPr="00375E39">
        <w:rPr>
          <w:sz w:val="20"/>
          <w:szCs w:val="20"/>
          <w:lang w:eastAsia="en-US"/>
        </w:rPr>
        <w:t xml:space="preserve"> О</w:t>
      </w:r>
      <w:r>
        <w:rPr>
          <w:sz w:val="20"/>
          <w:szCs w:val="20"/>
          <w:lang w:eastAsia="en-US"/>
        </w:rPr>
        <w:t xml:space="preserve">лег </w:t>
      </w:r>
      <w:r w:rsidRPr="00375E39">
        <w:rPr>
          <w:sz w:val="20"/>
          <w:szCs w:val="20"/>
          <w:lang w:eastAsia="en-US"/>
        </w:rPr>
        <w:t>В</w:t>
      </w:r>
      <w:r>
        <w:rPr>
          <w:sz w:val="20"/>
          <w:szCs w:val="20"/>
          <w:lang w:eastAsia="en-US"/>
        </w:rPr>
        <w:t>алерьевич</w:t>
      </w:r>
      <w:r w:rsidRPr="00375E39">
        <w:rPr>
          <w:sz w:val="20"/>
          <w:szCs w:val="20"/>
          <w:lang w:eastAsia="en-US"/>
        </w:rPr>
        <w:t>,</w:t>
      </w:r>
      <w:r>
        <w:rPr>
          <w:sz w:val="20"/>
          <w:szCs w:val="20"/>
          <w:lang w:eastAsia="en-US"/>
        </w:rPr>
        <w:t xml:space="preserve"> Тольяттинский государственный университет, с</w:t>
      </w:r>
      <w:r w:rsidRPr="008F195D">
        <w:rPr>
          <w:sz w:val="20"/>
          <w:szCs w:val="20"/>
          <w:lang w:eastAsia="en-US"/>
        </w:rPr>
        <w:t>тарший преподаватель</w:t>
      </w:r>
      <w:r w:rsidRPr="00375E39">
        <w:rPr>
          <w:sz w:val="20"/>
          <w:szCs w:val="20"/>
          <w:lang w:eastAsia="en-US"/>
        </w:rPr>
        <w:t xml:space="preserve"> </w:t>
      </w:r>
      <w:r>
        <w:rPr>
          <w:sz w:val="20"/>
          <w:szCs w:val="20"/>
          <w:lang w:eastAsia="en-US"/>
        </w:rPr>
        <w:t xml:space="preserve">кафедры </w:t>
      </w:r>
      <w:r w:rsidRPr="00DE7E39">
        <w:rPr>
          <w:sz w:val="20"/>
          <w:szCs w:val="20"/>
          <w:lang w:eastAsia="en-US"/>
        </w:rPr>
        <w:t>"Электроснабжение и электротехника"</w:t>
      </w:r>
      <w:r>
        <w:rPr>
          <w:sz w:val="20"/>
          <w:szCs w:val="20"/>
          <w:lang w:eastAsia="en-US"/>
        </w:rPr>
        <w:t xml:space="preserve">, </w:t>
      </w:r>
      <w:proofErr w:type="spellStart"/>
      <w:r w:rsidRPr="00FC7726">
        <w:rPr>
          <w:sz w:val="20"/>
          <w:szCs w:val="20"/>
        </w:rPr>
        <w:t>e-mail</w:t>
      </w:r>
      <w:proofErr w:type="spellEnd"/>
      <w:r>
        <w:rPr>
          <w:sz w:val="20"/>
          <w:szCs w:val="20"/>
        </w:rPr>
        <w:t xml:space="preserve">: </w:t>
      </w:r>
      <w:proofErr w:type="spellStart"/>
      <w:r w:rsidRPr="008F195D">
        <w:rPr>
          <w:sz w:val="20"/>
          <w:szCs w:val="20"/>
          <w:lang w:eastAsia="en-US"/>
        </w:rPr>
        <w:t>o.fedyai@yandex.ru</w:t>
      </w:r>
      <w:proofErr w:type="spellEnd"/>
    </w:p>
    <w:p w14:paraId="7244B3EE" w14:textId="77777777" w:rsidR="006F6E50" w:rsidRPr="00A83B90" w:rsidRDefault="006F6E50" w:rsidP="002F4403">
      <w:pPr>
        <w:ind w:firstLine="708"/>
        <w:jc w:val="both"/>
        <w:rPr>
          <w:sz w:val="20"/>
          <w:szCs w:val="20"/>
          <w:lang w:eastAsia="en-US"/>
        </w:rPr>
      </w:pPr>
    </w:p>
    <w:sectPr w:rsidR="006F6E50" w:rsidRPr="00A83B90" w:rsidSect="006F6E50">
      <w:pgSz w:w="11906" w:h="16838"/>
      <w:pgMar w:top="17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BA"/>
    <w:rsid w:val="00044D8E"/>
    <w:rsid w:val="0004569F"/>
    <w:rsid w:val="0007688B"/>
    <w:rsid w:val="00084F94"/>
    <w:rsid w:val="00136775"/>
    <w:rsid w:val="00140290"/>
    <w:rsid w:val="00175D50"/>
    <w:rsid w:val="001813CC"/>
    <w:rsid w:val="001925EE"/>
    <w:rsid w:val="002123EB"/>
    <w:rsid w:val="00212D03"/>
    <w:rsid w:val="002437C3"/>
    <w:rsid w:val="00280B36"/>
    <w:rsid w:val="00285B98"/>
    <w:rsid w:val="002D4E14"/>
    <w:rsid w:val="002E1EBB"/>
    <w:rsid w:val="002F4403"/>
    <w:rsid w:val="00312D55"/>
    <w:rsid w:val="003202F6"/>
    <w:rsid w:val="003447D0"/>
    <w:rsid w:val="00351FF2"/>
    <w:rsid w:val="003764C7"/>
    <w:rsid w:val="003A242B"/>
    <w:rsid w:val="00442522"/>
    <w:rsid w:val="0045068A"/>
    <w:rsid w:val="004615F4"/>
    <w:rsid w:val="0046336F"/>
    <w:rsid w:val="00492C77"/>
    <w:rsid w:val="005A3506"/>
    <w:rsid w:val="0062665C"/>
    <w:rsid w:val="006F6E50"/>
    <w:rsid w:val="00714FBA"/>
    <w:rsid w:val="007C31F4"/>
    <w:rsid w:val="00820CAE"/>
    <w:rsid w:val="00841FA2"/>
    <w:rsid w:val="008E3B2B"/>
    <w:rsid w:val="0093734D"/>
    <w:rsid w:val="009865E8"/>
    <w:rsid w:val="009867F3"/>
    <w:rsid w:val="00997816"/>
    <w:rsid w:val="009C23AE"/>
    <w:rsid w:val="009D4667"/>
    <w:rsid w:val="00A83B90"/>
    <w:rsid w:val="00AB14A5"/>
    <w:rsid w:val="00AD08F6"/>
    <w:rsid w:val="00AF408F"/>
    <w:rsid w:val="00AF5FA8"/>
    <w:rsid w:val="00B079E9"/>
    <w:rsid w:val="00B71ADA"/>
    <w:rsid w:val="00B86B08"/>
    <w:rsid w:val="00BB5E70"/>
    <w:rsid w:val="00C03649"/>
    <w:rsid w:val="00C57717"/>
    <w:rsid w:val="00CC23C8"/>
    <w:rsid w:val="00CD361D"/>
    <w:rsid w:val="00CF09F2"/>
    <w:rsid w:val="00D170E0"/>
    <w:rsid w:val="00D55901"/>
    <w:rsid w:val="00D57899"/>
    <w:rsid w:val="00D737AB"/>
    <w:rsid w:val="00D8214C"/>
    <w:rsid w:val="00DA0AA6"/>
    <w:rsid w:val="00DD3393"/>
    <w:rsid w:val="00E26685"/>
    <w:rsid w:val="00E27249"/>
    <w:rsid w:val="00E703B7"/>
    <w:rsid w:val="00ED72B4"/>
    <w:rsid w:val="00F117E1"/>
    <w:rsid w:val="00F76F31"/>
    <w:rsid w:val="00F87EE5"/>
    <w:rsid w:val="00FF0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7C8E"/>
  <w15:chartTrackingRefBased/>
  <w15:docId w15:val="{E330165D-78B4-4739-B7F8-127B17D9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B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B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35909-E31D-40F4-925B-6A03B872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2945</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SuperComp</dc:creator>
  <cp:keywords/>
  <dc:description/>
  <cp:lastModifiedBy>SuperComp</cp:lastModifiedBy>
  <cp:revision>2</cp:revision>
  <dcterms:created xsi:type="dcterms:W3CDTF">2025-06-10T15:41:00Z</dcterms:created>
  <dcterms:modified xsi:type="dcterms:W3CDTF">2025-06-10T15:41:00Z</dcterms:modified>
</cp:coreProperties>
</file>