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left"/>
        <w:rPr>
          <w:b/>
          <w:bCs/>
          <w:color w:val="000000"/>
          <w:sz w:val="28"/>
          <w:szCs w:val="28"/>
          <w:lang w:val="en-US"/>
        </w:rPr>
      </w:pPr>
      <w:r>
        <w:rPr>
          <w:b/>
          <w:bCs/>
          <w:color w:val="000000"/>
          <w:sz w:val="28"/>
          <w:szCs w:val="28"/>
          <w:lang w:val="en-US"/>
        </w:rPr>
        <w:t xml:space="preserve">AN ANALYSIS OF ENERGETIC PROTON FLUXES BELOW THE INNER RB AT THE EARLY STAGE OF RING CURRENT </w:t>
      </w:r>
      <w:r>
        <w:rPr>
          <w:b/>
          <w:bCs/>
          <w:color w:val="000000"/>
          <w:sz w:val="28"/>
          <w:szCs w:val="28"/>
          <w:lang w:val="en-US"/>
        </w:rPr>
        <w:t xml:space="preserve">DEVELOPMENT</w:t>
      </w:r>
      <w:r>
        <w:rPr>
          <w:b/>
          <w:bCs/>
          <w:color w:val="000000"/>
          <w:sz w:val="28"/>
          <w:szCs w:val="28"/>
          <w:lang w:val="en-US"/>
        </w:rPr>
        <w:t xml:space="preserve"> DURING </w:t>
      </w:r>
      <w:r>
        <w:rPr>
          <w:b/>
          <w:bCs/>
          <w:color w:val="000000"/>
          <w:sz w:val="28"/>
          <w:szCs w:val="28"/>
          <w:lang w:val="en-US"/>
        </w:rPr>
        <w:t xml:space="preserve">THE MAY 2024</w:t>
      </w:r>
      <w:r>
        <w:rPr>
          <w:b/>
          <w:bCs/>
          <w:color w:val="000000"/>
          <w:sz w:val="28"/>
          <w:szCs w:val="28"/>
          <w:lang w:val="en-US"/>
        </w:rPr>
        <w:t xml:space="preserve"> SUPERSTORM </w:t>
      </w:r>
      <w:r>
        <w:rPr>
          <w:b/>
          <w:bCs/>
          <w:color w:val="000000"/>
          <w:sz w:val="28"/>
          <w:szCs w:val="28"/>
          <w:lang w:val="en-US"/>
        </w:rPr>
      </w:r>
      <w:r>
        <w:rPr>
          <w:b/>
          <w:bCs/>
          <w:color w:val="000000"/>
          <w:sz w:val="28"/>
          <w:szCs w:val="28"/>
          <w:lang w:val="en-US"/>
        </w:rPr>
      </w:r>
    </w:p>
    <w:p>
      <w:pPr>
        <w:jc w:val="center"/>
        <w:rPr>
          <w:i/>
          <w:iCs/>
          <w:color w:val="000000"/>
          <w:sz w:val="18"/>
          <w:szCs w:val="18"/>
          <w:lang w:val="en-US"/>
        </w:rPr>
      </w:pPr>
      <w:r>
        <w:rPr>
          <w:i/>
          <w:iCs/>
          <w:color w:val="000000"/>
          <w:sz w:val="18"/>
          <w:szCs w:val="18"/>
          <w:lang w:val="en-US"/>
        </w:rPr>
      </w:r>
      <w:r>
        <w:rPr>
          <w:i/>
          <w:iCs/>
          <w:color w:val="000000"/>
          <w:sz w:val="18"/>
          <w:szCs w:val="18"/>
          <w:lang w:val="en-US"/>
        </w:rPr>
      </w:r>
      <w:r>
        <w:rPr>
          <w:i/>
          <w:iCs/>
          <w:color w:val="000000"/>
          <w:sz w:val="18"/>
          <w:szCs w:val="18"/>
          <w:lang w:val="en-US"/>
        </w:rPr>
      </w:r>
    </w:p>
    <w:p>
      <w:pPr>
        <w:jc w:val="center"/>
        <w:rPr>
          <w:color w:val="000000"/>
          <w:sz w:val="20"/>
          <w:szCs w:val="20"/>
          <w:lang w:val="en-US"/>
        </w:rPr>
      </w:pPr>
      <w:r>
        <w:rPr>
          <w:color w:val="000000"/>
          <w:sz w:val="20"/>
          <w:szCs w:val="20"/>
          <w:lang w:val="en-US"/>
        </w:rPr>
        <w:t xml:space="preserve">A.</w:t>
      </w:r>
      <w:r>
        <w:rPr>
          <w:color w:val="000000"/>
          <w:sz w:val="20"/>
          <w:szCs w:val="20"/>
          <w:lang w:val="en-US"/>
        </w:rPr>
        <w:t xml:space="preserve"> V. Suvorova</w:t>
      </w:r>
      <w:r>
        <w:rPr>
          <w:color w:val="000000"/>
          <w:sz w:val="20"/>
          <w:szCs w:val="20"/>
          <w:lang w:val="en-US"/>
        </w:rPr>
      </w:r>
      <w:r>
        <w:rPr>
          <w:color w:val="000000"/>
          <w:sz w:val="20"/>
          <w:szCs w:val="20"/>
          <w:lang w:val="en-US"/>
        </w:rPr>
      </w:r>
    </w:p>
    <w:p>
      <w:pPr>
        <w:jc w:val="center"/>
        <w:rPr>
          <w:i/>
          <w:iCs/>
          <w:color w:val="000000"/>
          <w:sz w:val="20"/>
          <w:szCs w:val="20"/>
          <w:lang w:val="en-US"/>
        </w:rPr>
      </w:pPr>
      <w:r>
        <w:rPr>
          <w:i/>
          <w:iCs/>
          <w:color w:val="000000"/>
          <w:sz w:val="20"/>
          <w:szCs w:val="20"/>
          <w:lang w:val="en-US"/>
        </w:rPr>
        <w:t xml:space="preserve"> </w:t>
      </w:r>
      <w:r>
        <w:rPr>
          <w:i/>
          <w:iCs/>
          <w:color w:val="000000"/>
          <w:sz w:val="20"/>
          <w:szCs w:val="20"/>
          <w:lang w:val="en-US"/>
        </w:rPr>
      </w:r>
      <w:r>
        <w:rPr>
          <w:i/>
          <w:iCs/>
          <w:color w:val="000000"/>
          <w:sz w:val="20"/>
          <w:szCs w:val="20"/>
          <w:lang w:val="en-US"/>
        </w:rPr>
      </w:r>
    </w:p>
    <w:p>
      <w:pPr>
        <w:jc w:val="center"/>
        <w:rPr>
          <w:i/>
          <w:iCs/>
          <w:color w:val="000000"/>
          <w:sz w:val="20"/>
          <w:szCs w:val="20"/>
          <w:lang w:val="en-US"/>
        </w:rPr>
      </w:pPr>
      <w:r>
        <w:rPr>
          <w:i/>
          <w:iCs/>
          <w:color w:val="000000"/>
          <w:sz w:val="20"/>
          <w:szCs w:val="20"/>
          <w:lang w:val="en-US"/>
        </w:rPr>
        <w:t xml:space="preserve">D.V. </w:t>
      </w:r>
      <w:r>
        <w:rPr>
          <w:i/>
          <w:iCs/>
          <w:color w:val="000000"/>
          <w:sz w:val="20"/>
          <w:szCs w:val="20"/>
          <w:lang w:val="en-US"/>
        </w:rPr>
        <w:t xml:space="preserve">Skobeltsyn</w:t>
      </w:r>
      <w:r>
        <w:rPr>
          <w:i/>
          <w:iCs/>
          <w:color w:val="000000"/>
          <w:sz w:val="20"/>
          <w:szCs w:val="20"/>
          <w:lang w:val="en-US"/>
        </w:rPr>
        <w:t xml:space="preserve"> Institute of Nuclear Physics M.V. Lomonosov Moscow State University, Moscow, Russia</w:t>
      </w:r>
      <w:r>
        <w:rPr>
          <w:i/>
          <w:iCs/>
          <w:color w:val="000000"/>
          <w:sz w:val="20"/>
          <w:szCs w:val="20"/>
          <w:lang w:val="en-US"/>
        </w:rPr>
        <w:br/>
        <w:t xml:space="preserve">alla_suvorova@mail.ru</w:t>
      </w:r>
      <w:r>
        <w:rPr>
          <w:i/>
          <w:iCs/>
          <w:color w:val="000000"/>
          <w:sz w:val="20"/>
          <w:szCs w:val="20"/>
          <w:lang w:val="en-US"/>
        </w:rPr>
      </w:r>
    </w:p>
    <w:p>
      <w:pPr>
        <w:rPr>
          <w:sz w:val="20"/>
          <w:szCs w:val="20"/>
          <w:lang w:val="en-US"/>
        </w:rPr>
      </w:pPr>
      <w:r>
        <w:rPr>
          <w:sz w:val="20"/>
          <w:szCs w:val="20"/>
          <w:lang w:val="en-US"/>
        </w:rPr>
      </w:r>
      <w:r>
        <w:rPr>
          <w:sz w:val="20"/>
          <w:szCs w:val="20"/>
          <w:lang w:val="en-US"/>
        </w:rPr>
      </w:r>
      <w:r>
        <w:rPr>
          <w:sz w:val="20"/>
          <w:szCs w:val="20"/>
          <w:lang w:val="en-US"/>
        </w:rPr>
      </w:r>
    </w:p>
    <w:p>
      <w:pPr>
        <w:ind w:left="0" w:right="0" w:firstLine="0"/>
        <w:jc w:val="both"/>
        <w:rPr>
          <w:sz w:val="20"/>
          <w:szCs w:val="20"/>
          <w:lang w:val="en-US"/>
        </w:rPr>
      </w:pPr>
      <w:r>
        <w:rPr>
          <w:b/>
          <w:bCs/>
          <w:sz w:val="20"/>
          <w:szCs w:val="20"/>
          <w:lang w:val="en-US"/>
        </w:rPr>
        <w:t xml:space="preserve">Abstract.</w:t>
      </w:r>
      <w:r>
        <w:rPr>
          <w:sz w:val="20"/>
          <w:szCs w:val="20"/>
          <w:lang w:val="en-US"/>
        </w:rPr>
        <w:t xml:space="preserve"> </w:t>
      </w:r>
      <w:r>
        <w:rPr>
          <w:sz w:val="20"/>
          <w:szCs w:val="20"/>
          <w:lang w:val="en-US"/>
        </w:rPr>
        <w:t xml:space="preserve">The sudden increase in the fluxes of energetic (30-300 keV) electrons below the Earth’s inner radiation belt (</w:t>
      </w:r>
      <w:r>
        <w:rPr>
          <w:sz w:val="20"/>
          <w:szCs w:val="20"/>
          <w:lang w:val="en-US"/>
        </w:rPr>
        <w:t xml:space="preserve">RB), known as forbidden energetic electrons (FEE), has been systematically studied over the past decade. </w:t>
      </w:r>
      <w:r>
        <w:rPr>
          <w:sz w:val="20"/>
          <w:szCs w:val="20"/>
          <w:lang w:val="en-US"/>
        </w:rPr>
        <w:t xml:space="preserve">A mechanism of fast radial transport was proposed to explain this phenomenon, the essence of which is electric drift independent of the sign of the particle charge. Leaving aside for now the issues related to the nature </w:t>
      </w:r>
      <w:r>
        <w:rPr>
          <w:sz w:val="20"/>
          <w:szCs w:val="20"/>
          <w:lang w:val="en-US"/>
        </w:rPr>
        <w:t xml:space="preserve">of origin </w:t>
      </w:r>
      <w:r>
        <w:rPr>
          <w:sz w:val="20"/>
          <w:szCs w:val="20"/>
          <w:lang w:val="en-US"/>
        </w:rPr>
        <w:t xml:space="preserve">or penetration of the electric field into such low L shells, it should be noted that it was not possible to detect unambiguous signs of an increase in energetic proton fluxes. A number of factors could have influenced the failures of previous </w:t>
      </w:r>
      <w:r>
        <w:rPr>
          <w:sz w:val="20"/>
          <w:szCs w:val="20"/>
          <w:lang w:val="en-US"/>
        </w:rPr>
        <w:t xml:space="preserve">efforts.</w:t>
      </w:r>
      <w:r>
        <w:rPr>
          <w:sz w:val="20"/>
          <w:szCs w:val="20"/>
          <w:lang w:val="en-US"/>
        </w:rPr>
        <w:t xml:space="preserve"> In particular, injected protons and electrons drift in opposite </w:t>
      </w:r>
      <w:r>
        <w:rPr>
          <w:sz w:val="20"/>
          <w:szCs w:val="20"/>
          <w:lang w:val="en-US"/>
        </w:rPr>
        <w:t xml:space="preserve">azimuthal </w:t>
      </w:r>
      <w:r>
        <w:rPr>
          <w:sz w:val="20"/>
          <w:szCs w:val="20"/>
          <w:lang w:val="en-US"/>
        </w:rPr>
        <w:t xml:space="preserve">directions, </w:t>
      </w:r>
      <w:r>
        <w:rPr>
          <w:sz w:val="20"/>
          <w:szCs w:val="20"/>
          <w:lang w:val="en-US"/>
        </w:rPr>
        <w:t xml:space="preserve">and </w:t>
      </w:r>
      <w:r>
        <w:rPr>
          <w:sz w:val="20"/>
          <w:szCs w:val="20"/>
          <w:lang w:val="en-US"/>
        </w:rPr>
        <w:t xml:space="preserve">the ring current protons penetrate to low altitudes everywhere during the storm main phase. In this paper, we analyze the spatiotemporal characteristics of increases in proton flux int</w:t>
      </w:r>
      <w:r>
        <w:rPr>
          <w:sz w:val="20"/>
          <w:szCs w:val="20"/>
          <w:lang w:val="en-US"/>
        </w:rPr>
        <w:t xml:space="preserve">ensities at early stage of the magnetic storm in May 2024 when the FEE event was also observed.</w:t>
      </w:r>
      <w:r>
        <w:rPr>
          <w:sz w:val="20"/>
          <w:szCs w:val="20"/>
          <w:lang w:val="en-US"/>
        </w:rPr>
        <w:t xml:space="preserve"> We found evidence</w:t>
      </w:r>
      <w:r>
        <w:rPr>
          <w:sz w:val="20"/>
          <w:szCs w:val="20"/>
          <w:lang w:val="en-US"/>
        </w:rPr>
        <w:t xml:space="preserve"> of proton injection, confirming the </w:t>
      </w:r>
      <w:r>
        <w:rPr>
          <w:i w:val="0"/>
          <w:iCs w:val="0"/>
          <w:sz w:val="20"/>
          <w:szCs w:val="20"/>
          <w:lang w:val="en-US"/>
        </w:rPr>
        <w:t xml:space="preserve">E</w:t>
      </w:r>
      <w:r>
        <w:rPr>
          <w:rFonts w:hint="default" w:ascii="Abyssinica SIL" w:hAnsi="Abyssinica SIL" w:eastAsia="Abyssinica SIL" w:cs="Abyssinica SIL"/>
          <w:i w:val="0"/>
          <w:iCs w:val="0"/>
          <w:sz w:val="16"/>
          <w:szCs w:val="16"/>
          <w:lang w:val="en-US"/>
        </w:rPr>
        <w:t xml:space="preserve">✕</w:t>
      </w:r>
      <w:r>
        <w:rPr>
          <w:i w:val="0"/>
          <w:iCs w:val="0"/>
          <w:sz w:val="20"/>
          <w:szCs w:val="20"/>
          <w:lang w:val="en-US"/>
        </w:rPr>
        <w:t xml:space="preserve">B</w:t>
      </w:r>
      <w:r>
        <w:rPr>
          <w:sz w:val="20"/>
          <w:szCs w:val="20"/>
          <w:lang w:val="en-US"/>
        </w:rPr>
        <w:t xml:space="preserve"> drift.</w:t>
      </w:r>
      <w:r>
        <w:rPr>
          <w:sz w:val="20"/>
          <w:szCs w:val="20"/>
          <w:lang w:val="en-US"/>
        </w:rPr>
      </w:r>
      <w:r>
        <w:rPr>
          <w:sz w:val="20"/>
          <w:szCs w:val="20"/>
          <w:lang w:val="en-US"/>
        </w:rPr>
      </w:r>
    </w:p>
    <w:p>
      <w:pPr>
        <w:ind w:firstLine="284"/>
        <w:jc w:val="both"/>
        <w:rPr>
          <w:sz w:val="20"/>
          <w:szCs w:val="20"/>
          <w:lang w:val="en-US"/>
        </w:rPr>
      </w:pPr>
      <w:r>
        <w:rPr>
          <w:sz w:val="20"/>
          <w:szCs w:val="20"/>
          <w:lang w:val="en-US"/>
        </w:rPr>
      </w:r>
      <w:r>
        <w:rPr>
          <w:sz w:val="20"/>
          <w:szCs w:val="20"/>
          <w:lang w:val="en-US"/>
        </w:rPr>
      </w:r>
      <w:r>
        <w:rPr>
          <w:sz w:val="20"/>
          <w:szCs w:val="20"/>
          <w:lang w:val="en-US"/>
        </w:rPr>
      </w:r>
    </w:p>
    <w:p>
      <w:pPr>
        <w:ind w:left="0" w:right="0" w:firstLine="0"/>
        <w:jc w:val="both"/>
        <w:rPr>
          <w:sz w:val="20"/>
          <w:szCs w:val="20"/>
          <w:highlight w:val="none"/>
          <w:lang w:val="en-US"/>
        </w:rPr>
      </w:pPr>
      <w:r>
        <w:rPr>
          <w:b/>
          <w:bCs/>
          <w:sz w:val="24"/>
          <w:szCs w:val="24"/>
          <w:lang w:val="en-US"/>
        </w:rPr>
        <w:t xml:space="preserve">Introduction</w:t>
      </w:r>
      <w:r>
        <w:rPr>
          <w:sz w:val="20"/>
          <w:szCs w:val="20"/>
          <w:highlight w:val="none"/>
          <w:lang w:val="en-US"/>
        </w:rPr>
      </w:r>
      <w:r>
        <w:rPr>
          <w:sz w:val="20"/>
          <w:szCs w:val="20"/>
          <w:highlight w:val="none"/>
          <w:lang w:val="en-US"/>
        </w:rPr>
      </w:r>
    </w:p>
    <w:p>
      <w:pPr>
        <w:ind w:firstLine="284"/>
        <w:jc w:val="both"/>
        <w:rPr>
          <w:sz w:val="20"/>
          <w:szCs w:val="20"/>
          <w:lang w:val="en-US"/>
        </w:rPr>
      </w:pPr>
      <w:r>
        <w:rPr>
          <w:sz w:val="20"/>
          <w:szCs w:val="20"/>
          <w:lang w:val="en-US"/>
        </w:rPr>
      </w:r>
      <w:r>
        <w:rPr>
          <w:sz w:val="20"/>
          <w:szCs w:val="20"/>
          <w:lang w:val="en-US"/>
        </w:rPr>
        <w:t xml:space="preserve">The intensity of the fluxes of trapped particles </w:t>
      </w:r>
      <w:r>
        <w:rPr>
          <w:sz w:val="20"/>
          <w:szCs w:val="20"/>
          <w:lang w:val="en-US"/>
        </w:rPr>
        <w:t xml:space="preserve">in</w:t>
      </w:r>
      <w:r>
        <w:rPr>
          <w:sz w:val="20"/>
          <w:szCs w:val="20"/>
          <w:lang w:val="en-US"/>
        </w:rPr>
        <w:t xml:space="preserve"> the Earth's inner </w:t>
      </w:r>
      <w:r>
        <w:rPr>
          <w:sz w:val="20"/>
          <w:szCs w:val="20"/>
          <w:lang w:val="en-US"/>
        </w:rPr>
        <w:t xml:space="preserve">RB drops sharply at its inner edge, which is located on the drift shell L~1.2. The region </w:t>
      </w:r>
      <w:r>
        <w:rPr>
          <w:sz w:val="20"/>
          <w:szCs w:val="20"/>
          <w:lang w:val="en-US"/>
        </w:rPr>
        <w:t xml:space="preserve">below the inner edge of the </w:t>
      </w:r>
      <w:r>
        <w:rPr>
          <w:sz w:val="20"/>
          <w:szCs w:val="20"/>
          <w:lang w:val="en-US"/>
        </w:rPr>
        <w:t xml:space="preserve">RB (L&lt; 1.2) </w:t>
      </w:r>
      <w:r>
        <w:rPr>
          <w:sz w:val="20"/>
          <w:szCs w:val="20"/>
          <w:lang w:val="en-US"/>
        </w:rPr>
        <w:t xml:space="preserve">is called the forbidden zone. The background fluxes of energetic (up to several hundred keV) electrons and protons in the forbidden zone </w:t>
      </w:r>
      <w:r>
        <w:rPr>
          <w:sz w:val="20"/>
          <w:szCs w:val="20"/>
          <w:lang w:val="en-US"/>
        </w:rPr>
        <w:t xml:space="preserve">do not exceed 10</w:t>
      </w:r>
      <w:r>
        <w:rPr>
          <w:sz w:val="20"/>
          <w:szCs w:val="20"/>
          <w:vertAlign w:val="superscript"/>
          <w:lang w:val="en-US"/>
        </w:rPr>
        <w:t xml:space="preserve">2</w:t>
      </w:r>
      <w:r>
        <w:rPr>
          <w:sz w:val="20"/>
          <w:szCs w:val="20"/>
          <w:lang w:val="en-US"/>
        </w:rPr>
        <w:t xml:space="preserve"> particles per (cm</w:t>
      </w:r>
      <w:r>
        <w:rPr>
          <w:sz w:val="20"/>
          <w:szCs w:val="20"/>
          <w:vertAlign w:val="superscript"/>
          <w:lang w:val="en-US"/>
        </w:rPr>
        <w:t xml:space="preserve">2</w:t>
      </w:r>
      <w:r>
        <w:rPr>
          <w:sz w:val="20"/>
          <w:szCs w:val="20"/>
          <w:lang w:val="en-US"/>
        </w:rPr>
        <w:t xml:space="preserve"> s </w:t>
      </w:r>
      <w:r>
        <w:rPr>
          <w:sz w:val="20"/>
          <w:szCs w:val="20"/>
          <w:lang w:val="en-US"/>
        </w:rPr>
        <w:t xml:space="preserve">sr</w:t>
      </w:r>
      <w:r>
        <w:rPr>
          <w:sz w:val="20"/>
          <w:szCs w:val="20"/>
          <w:lang w:val="en-US"/>
        </w:rPr>
        <w:t xml:space="preserve">) under quiet geomagnetic conditions [</w:t>
      </w:r>
      <w:r>
        <w:rPr>
          <w:sz w:val="20"/>
          <w:szCs w:val="20"/>
          <w:lang w:val="en-US"/>
        </w:rPr>
        <w:t xml:space="preserve">1,2]. The inner </w:t>
      </w:r>
      <w:r>
        <w:rPr>
          <w:sz w:val="20"/>
          <w:szCs w:val="20"/>
          <w:lang w:val="en-US"/>
        </w:rPr>
        <w:t xml:space="preserve">RB </w:t>
      </w:r>
      <w:r>
        <w:rPr>
          <w:sz w:val="20"/>
          <w:szCs w:val="20"/>
          <w:lang w:val="en-US"/>
        </w:rPr>
        <w:t xml:space="preserve">edge is formed at altitudes where particle losses become significant due to effective scattering in the dense atmosphere, as well as due to the presence of a region of weak magnetic field in the South Atlantic Anomaly</w:t>
      </w:r>
      <w:r>
        <w:rPr>
          <w:sz w:val="20"/>
          <w:szCs w:val="20"/>
          <w:lang w:val="en-US"/>
        </w:rPr>
        <w:t xml:space="preserve"> (SAA)</w:t>
      </w:r>
      <w:r>
        <w:rPr>
          <w:sz w:val="20"/>
          <w:szCs w:val="20"/>
          <w:lang w:val="en-US"/>
        </w:rPr>
        <w:t xml:space="preserve">. Sudden flux increases of energetic electrons, called FEE event, are sometimes observed in the forbidden zone.</w:t>
      </w:r>
      <w:r>
        <w:rPr>
          <w:sz w:val="20"/>
          <w:szCs w:val="20"/>
          <w:lang w:val="en-US"/>
        </w:rPr>
      </w:r>
      <w:r>
        <w:rPr>
          <w:sz w:val="20"/>
          <w:szCs w:val="20"/>
          <w:lang w:val="en-US"/>
        </w:rPr>
      </w:r>
    </w:p>
    <w:p>
      <w:pPr>
        <w:ind w:firstLine="284"/>
        <w:jc w:val="both"/>
        <w:rPr>
          <w:sz w:val="20"/>
          <w:szCs w:val="20"/>
          <w:highlight w:val="none"/>
          <w:lang w:val="en-US"/>
        </w:rPr>
      </w:pPr>
      <w:r>
        <w:rPr>
          <w:sz w:val="20"/>
          <w:szCs w:val="20"/>
          <w:lang w:val="en-US"/>
        </w:rPr>
        <w:t xml:space="preserve">Continuous measurements (since 1998) of energetic particle fluxes by the NOAA/POES low-orbit (~850 km) satellites were used to create a catalog of anomalous events with FEE-flux increases [</w:t>
      </w:r>
      <w:r>
        <w:rPr>
          <w:i w:val="0"/>
          <w:iCs w:val="0"/>
          <w:sz w:val="20"/>
          <w:szCs w:val="20"/>
          <w:lang w:val="en-US"/>
        </w:rPr>
        <w:t xml:space="preserve">3</w:t>
      </w:r>
      <w:r>
        <w:rPr>
          <w:sz w:val="20"/>
          <w:szCs w:val="20"/>
          <w:lang w:val="en-US"/>
        </w:rPr>
        <w:t xml:space="preserve">]. The FEEs constitute a quasi-trapped population, which is characterized by the short </w:t>
      </w:r>
      <w:r>
        <w:rPr>
          <w:sz w:val="20"/>
          <w:szCs w:val="20"/>
          <w:lang w:val="en-US"/>
        </w:rPr>
        <w:t xml:space="preserve">lifetime, </w:t>
      </w:r>
      <w:r>
        <w:rPr>
          <w:sz w:val="20"/>
          <w:szCs w:val="20"/>
          <w:lang w:val="en-US"/>
        </w:rPr>
        <w:t xml:space="preserve">one azimuthal drift period, which depends on the sort and energy of particles (it is hours</w:t>
      </w:r>
      <w:r>
        <w:rPr>
          <w:sz w:val="20"/>
          <w:szCs w:val="20"/>
          <w:lang w:val="en-US"/>
        </w:rPr>
        <w:t xml:space="preserve"> </w:t>
      </w:r>
      <w:r>
        <w:rPr>
          <w:sz w:val="20"/>
          <w:szCs w:val="20"/>
          <w:lang w:val="en-US"/>
        </w:rPr>
        <w:t xml:space="preserve">for keV energy range</w:t>
      </w:r>
      <w:r>
        <w:rPr>
          <w:sz w:val="20"/>
          <w:szCs w:val="20"/>
          <w:lang w:val="en-US"/>
        </w:rPr>
        <w:t xml:space="preserve">) [</w:t>
      </w:r>
      <w:r>
        <w:rPr>
          <w:i w:val="0"/>
          <w:iCs w:val="0"/>
          <w:sz w:val="20"/>
          <w:szCs w:val="20"/>
          <w:lang w:val="en-US"/>
        </w:rPr>
        <w:t xml:space="preserve">4</w:t>
      </w:r>
      <w:r>
        <w:rPr>
          <w:sz w:val="20"/>
          <w:szCs w:val="20"/>
          <w:lang w:val="en-US"/>
        </w:rPr>
        <w:t xml:space="preserve">].</w:t>
      </w:r>
      <w:r>
        <w:rPr>
          <w:sz w:val="20"/>
          <w:szCs w:val="20"/>
          <w:highlight w:val="none"/>
          <w:lang w:val="en-US"/>
        </w:rPr>
        <w:t xml:space="preserve"> A possible mechanism, electric drift, for the FEE phenomenon was proposed in [5]. </w:t>
      </w:r>
      <w:r>
        <w:rPr>
          <w:sz w:val="20"/>
          <w:szCs w:val="20"/>
          <w:highlight w:val="none"/>
          <w:lang w:val="en-US"/>
        </w:rPr>
        <w:t xml:space="preserve">Recently, key parameters of a mechanism</w:t>
      </w:r>
      <w:r>
        <w:rPr>
          <w:sz w:val="20"/>
          <w:szCs w:val="20"/>
          <w:highlight w:val="none"/>
          <w:lang w:val="en-US"/>
        </w:rPr>
        <w:t xml:space="preserve"> was inferred from the analysis of several superstorm</w:t>
      </w:r>
      <w:r>
        <w:rPr>
          <w:sz w:val="20"/>
          <w:szCs w:val="20"/>
          <w:lang w:val="en-US"/>
        </w:rPr>
        <w:t xml:space="preserve">s </w:t>
      </w:r>
      <w:r>
        <w:rPr>
          <w:sz w:val="20"/>
          <w:szCs w:val="20"/>
          <w:lang w:val="en-US"/>
        </w:rPr>
        <w:t xml:space="preserve">[6</w:t>
      </w:r>
      <w:r>
        <w:rPr>
          <w:sz w:val="20"/>
          <w:szCs w:val="20"/>
          <w:lang w:val="en-US"/>
        </w:rPr>
        <w:t xml:space="preserve">]</w:t>
      </w:r>
      <w:r>
        <w:rPr>
          <w:sz w:val="20"/>
          <w:szCs w:val="20"/>
          <w:lang w:val="en-US"/>
        </w:rPr>
        <w:t xml:space="preserve">. The electric drift mechanism implies </w:t>
      </w:r>
      <w:r>
        <w:rPr>
          <w:sz w:val="20"/>
          <w:szCs w:val="20"/>
          <w:lang w:val="en-US"/>
        </w:rPr>
        <w:t xml:space="preserve">a fast transport (injection) of particles. </w:t>
      </w:r>
      <w:r>
        <w:rPr>
          <w:sz w:val="20"/>
          <w:szCs w:val="20"/>
          <w:lang w:val="en-US"/>
        </w:rPr>
        <w:t xml:space="preserve">The source of injected particles is the inner RB [7</w:t>
      </w:r>
      <w:r>
        <w:rPr>
          <w:sz w:val="20"/>
          <w:szCs w:val="20"/>
          <w:lang w:val="en-US"/>
        </w:rPr>
        <w:t xml:space="preserve">].</w:t>
      </w:r>
      <w:r>
        <w:rPr>
          <w:sz w:val="20"/>
          <w:szCs w:val="20"/>
          <w:lang w:val="en-US"/>
        </w:rPr>
        <w:t xml:space="preserve"> The source of the electric field is currently unknown and under discussion [8, 9]. The particles injection occurs as a result of radial drift in </w:t>
      </w:r>
      <w:r>
        <w:rPr>
          <w:i w:val="0"/>
          <w:iCs w:val="0"/>
          <w:sz w:val="20"/>
          <w:szCs w:val="20"/>
          <w:lang w:val="en-US"/>
        </w:rPr>
        <w:t xml:space="preserve">the E</w:t>
      </w:r>
      <w:r>
        <w:rPr>
          <w:rFonts w:hint="default" w:ascii="Abyssinica SIL" w:hAnsi="Abyssinica SIL" w:eastAsia="Abyssinica SIL" w:cs="Abyssinica SIL"/>
          <w:i w:val="0"/>
          <w:iCs w:val="0"/>
          <w:sz w:val="20"/>
          <w:szCs w:val="20"/>
          <w:lang w:val="en-US"/>
        </w:rPr>
        <w:t xml:space="preserve">✕</w:t>
      </w:r>
      <w:r>
        <w:rPr>
          <w:i w:val="0"/>
          <w:iCs w:val="0"/>
          <w:sz w:val="20"/>
          <w:szCs w:val="20"/>
          <w:lang w:val="en-US"/>
        </w:rPr>
        <w:t xml:space="preserve">B</w:t>
      </w:r>
      <w:r>
        <w:rPr>
          <w:sz w:val="20"/>
          <w:szCs w:val="20"/>
          <w:lang w:val="en-US"/>
        </w:rPr>
        <w:t xml:space="preserve"> fields, which</w:t>
      </w:r>
      <w:r>
        <w:rPr>
          <w:sz w:val="20"/>
          <w:szCs w:val="20"/>
          <w:lang w:val="en-US"/>
        </w:rPr>
        <w:t xml:space="preserve"> does not dependent from the sign of the particle char</w:t>
      </w:r>
      <w:r>
        <w:rPr>
          <w:sz w:val="20"/>
          <w:szCs w:val="20"/>
          <w:lang w:val="en-US"/>
        </w:rPr>
        <w:t xml:space="preserve">ge.</w:t>
      </w:r>
      <w:r>
        <w:rPr>
          <w:sz w:val="20"/>
          <w:szCs w:val="20"/>
          <w:lang w:val="en-US"/>
        </w:rPr>
        <w:t xml:space="preserve"> However, no simultaneous increases of keV-energy proton fluxes were observed and reported. There may be several reasons for the </w:t>
      </w:r>
      <w:r>
        <w:rPr>
          <w:sz w:val="20"/>
          <w:szCs w:val="20"/>
          <w:lang w:val="en-US"/>
        </w:rPr>
        <w:t xml:space="preserve">the </w:t>
      </w:r>
      <w:r>
        <w:rPr>
          <w:sz w:val="20"/>
          <w:szCs w:val="20"/>
          <w:lang w:val="en-US"/>
        </w:rPr>
        <w:t xml:space="preserve">low probability</w:t>
      </w:r>
      <w:r>
        <w:rPr>
          <w:sz w:val="20"/>
          <w:szCs w:val="20"/>
          <w:lang w:val="en-US"/>
        </w:rPr>
        <w:t xml:space="preserve"> to </w:t>
      </w:r>
      <w:r>
        <w:rPr>
          <w:sz w:val="20"/>
          <w:szCs w:val="20"/>
          <w:lang w:val="en-US"/>
        </w:rPr>
        <w:t xml:space="preserve">de</w:t>
      </w:r>
      <w:r>
        <w:rPr>
          <w:sz w:val="20"/>
          <w:szCs w:val="20"/>
          <w:lang w:val="en-US"/>
        </w:rPr>
        <w:t xml:space="preserve">tect</w:t>
      </w:r>
      <w:r>
        <w:rPr>
          <w:sz w:val="20"/>
          <w:szCs w:val="20"/>
          <w:lang w:val="en-US"/>
        </w:rPr>
        <w:t xml:space="preserve"> electrons and protons simultaneously in the forbidden zone </w:t>
      </w:r>
      <w:r>
        <w:rPr>
          <w:sz w:val="20"/>
          <w:szCs w:val="20"/>
          <w:lang w:val="en-US"/>
        </w:rPr>
        <w:t xml:space="preserve">by</w:t>
      </w:r>
      <w:r>
        <w:rPr>
          <w:sz w:val="20"/>
          <w:szCs w:val="20"/>
          <w:lang w:val="en-US"/>
        </w:rPr>
        <w:t xml:space="preserve"> one satellite</w:t>
      </w:r>
      <w:r>
        <w:rPr>
          <w:sz w:val="20"/>
          <w:szCs w:val="20"/>
        </w:rPr>
        <w:t xml:space="preserve">: (</w:t>
      </w:r>
      <w:r>
        <w:rPr>
          <w:sz w:val="20"/>
          <w:szCs w:val="20"/>
          <w:lang w:val="en-US"/>
        </w:rPr>
        <w:t xml:space="preserve">1) </w:t>
      </w:r>
      <w:r>
        <w:rPr>
          <w:sz w:val="20"/>
          <w:szCs w:val="20"/>
          <w:lang w:val="en-US"/>
        </w:rPr>
        <w:t xml:space="preserve">in the nonuniform geomagnetic field, protons and electrons experience gradient drift in opposite azimuthal directions</w:t>
      </w:r>
      <w:r>
        <w:rPr>
          <w:sz w:val="20"/>
          <w:szCs w:val="20"/>
          <w:lang w:val="en-US"/>
        </w:rPr>
        <w:t xml:space="preserve">;</w:t>
      </w:r>
      <w:r>
        <w:rPr>
          <w:sz w:val="20"/>
          <w:szCs w:val="20"/>
        </w:rPr>
        <w:t xml:space="preserve"> (2) </w:t>
      </w:r>
      <w:r>
        <w:rPr>
          <w:sz w:val="20"/>
          <w:szCs w:val="20"/>
          <w:lang w:val="en-US"/>
        </w:rPr>
        <w:t xml:space="preserve">a relat</w:t>
      </w:r>
      <w:r>
        <w:rPr>
          <w:sz w:val="20"/>
          <w:szCs w:val="20"/>
          <w:lang w:val="en-US"/>
        </w:rPr>
        <w:t xml:space="preserve">ively low flux of keV protons in the quiet RB;</w:t>
      </w:r>
      <w:r>
        <w:rPr>
          <w:sz w:val="20"/>
          <w:szCs w:val="20"/>
        </w:rPr>
        <w:t xml:space="preserve"> (3) </w:t>
      </w:r>
      <w:r>
        <w:rPr>
          <w:sz w:val="20"/>
          <w:szCs w:val="20"/>
          <w:lang w:val="en-US"/>
        </w:rPr>
        <w:t xml:space="preserve">high proton fluxes of the storm ring current, quickly and widely</w:t>
      </w:r>
      <w:r>
        <w:rPr>
          <w:sz w:val="20"/>
          <w:szCs w:val="20"/>
        </w:rPr>
        <w:t xml:space="preserve"> </w:t>
      </w:r>
      <w:r>
        <w:rPr>
          <w:sz w:val="20"/>
          <w:szCs w:val="20"/>
          <w:lang w:val="en-US"/>
        </w:rPr>
        <w:t xml:space="preserve">penetrating to low altitudes</w:t>
      </w:r>
      <w:r>
        <w:rPr>
          <w:sz w:val="20"/>
          <w:szCs w:val="20"/>
        </w:rPr>
        <w:t xml:space="preserve">; </w:t>
      </w:r>
      <w:r>
        <w:rPr>
          <w:sz w:val="20"/>
          <w:szCs w:val="20"/>
          <w:highlight w:val="none"/>
          <w:lang w:val="en-US"/>
        </w:rPr>
        <w:t xml:space="preserve">(4) </w:t>
      </w:r>
      <w:r>
        <w:rPr>
          <w:sz w:val="20"/>
          <w:szCs w:val="20"/>
          <w:highlight w:val="white"/>
          <w:lang w:val="en-US"/>
        </w:rPr>
        <w:t xml:space="preserve">effective </w:t>
      </w:r>
      <w:r>
        <w:rPr>
          <w:sz w:val="20"/>
          <w:szCs w:val="20"/>
          <w:highlight w:val="white"/>
          <w:lang w:val="en-US"/>
        </w:rPr>
        <w:t xml:space="preserve">losses of low-energy protons in the charge-exchange process</w:t>
      </w:r>
      <w:r>
        <w:rPr>
          <w:sz w:val="20"/>
          <w:szCs w:val="20"/>
          <w:highlight w:val="white"/>
          <w:lang w:val="en-US"/>
        </w:rPr>
        <w:t xml:space="preserve">;</w:t>
      </w:r>
      <w:r>
        <w:rPr>
          <w:sz w:val="20"/>
          <w:szCs w:val="20"/>
        </w:rPr>
        <w:t xml:space="preserve"> (5) </w:t>
      </w:r>
      <w:r>
        <w:rPr>
          <w:sz w:val="20"/>
          <w:szCs w:val="20"/>
          <w:highlight w:val="none"/>
          <w:lang w:val="en-US"/>
        </w:rPr>
        <w:t xml:space="preserve">the </w:t>
      </w:r>
      <w:r>
        <w:rPr>
          <w:sz w:val="20"/>
          <w:szCs w:val="20"/>
          <w:highlight w:val="none"/>
          <w:lang w:val="en-US"/>
        </w:rPr>
        <w:t xml:space="preserve">influence of South Atlantic Anomaly (SAA), which occupies a vast longitudinal area</w:t>
      </w:r>
      <w:r>
        <w:rPr>
          <w:sz w:val="20"/>
          <w:szCs w:val="20"/>
          <w:highlight w:val="none"/>
          <w:lang w:val="en-US"/>
        </w:rPr>
        <w:t xml:space="preserve">.</w:t>
      </w:r>
      <w:r>
        <w:rPr>
          <w:sz w:val="20"/>
          <w:szCs w:val="20"/>
          <w:highlight w:val="none"/>
          <w:lang w:val="en-US"/>
        </w:rPr>
      </w:r>
      <w:r>
        <w:rPr>
          <w:sz w:val="20"/>
          <w:szCs w:val="20"/>
          <w:highlight w:val="none"/>
          <w:lang w:val="en-US"/>
        </w:rPr>
      </w:r>
    </w:p>
    <w:p>
      <w:pPr>
        <w:ind w:firstLine="284"/>
        <w:jc w:val="both"/>
        <w:rPr>
          <w:sz w:val="20"/>
          <w:szCs w:val="20"/>
          <w:lang w:val="en-US"/>
        </w:rPr>
      </w:pPr>
      <w:r>
        <w:rPr>
          <w:sz w:val="20"/>
          <w:szCs w:val="20"/>
          <w:highlight w:val="none"/>
          <w:lang w:val="en-US"/>
        </w:rPr>
      </w:r>
      <w:r>
        <w:rPr>
          <w:sz w:val="20"/>
          <w:szCs w:val="20"/>
          <w:lang w:val="en-US"/>
        </w:rPr>
        <w:t xml:space="preserve">In this paper, we consider the dynamics of </w:t>
      </w:r>
      <w:r>
        <w:rPr>
          <w:sz w:val="20"/>
          <w:szCs w:val="20"/>
          <w:lang w:val="en-US"/>
        </w:rPr>
        <w:t xml:space="preserve">proton fluxes</w:t>
      </w:r>
      <w:r>
        <w:rPr>
          <w:sz w:val="20"/>
          <w:szCs w:val="20"/>
          <w:lang w:val="en-US"/>
        </w:rPr>
        <w:t xml:space="preserve"> associated with the FEE-event during the superstorm in May 2024. We analyze the spatio-temporal characteristics of increases in proton flux int</w:t>
      </w:r>
      <w:r>
        <w:rPr>
          <w:sz w:val="20"/>
          <w:szCs w:val="20"/>
          <w:lang w:val="en-US"/>
        </w:rPr>
        <w:t xml:space="preserve">ensities at early stage of the storm main phase when the asymmetric ring current was developing.</w:t>
      </w:r>
      <w:r>
        <w:rPr>
          <w:sz w:val="20"/>
          <w:szCs w:val="20"/>
          <w:lang w:val="en-US"/>
        </w:rPr>
      </w:r>
      <w:r>
        <w:rPr>
          <w:sz w:val="20"/>
          <w:szCs w:val="20"/>
          <w:lang w:val="en-US"/>
        </w:rPr>
      </w:r>
    </w:p>
    <w:p>
      <w:pPr>
        <w:ind w:firstLine="284"/>
        <w:jc w:val="both"/>
        <w:rPr>
          <w:sz w:val="20"/>
          <w:szCs w:val="20"/>
          <w:lang w:val="en-US"/>
        </w:rPr>
      </w:pPr>
      <w:r>
        <w:rPr>
          <w:sz w:val="20"/>
          <w:szCs w:val="20"/>
          <w:lang w:val="en-US"/>
        </w:rPr>
      </w:r>
      <w:r>
        <w:rPr>
          <w:sz w:val="20"/>
          <w:szCs w:val="20"/>
          <w:lang w:val="en-US"/>
        </w:rPr>
      </w:r>
      <w:r>
        <w:rPr>
          <w:sz w:val="20"/>
          <w:szCs w:val="20"/>
          <w:lang w:val="en-US"/>
        </w:rPr>
      </w:r>
    </w:p>
    <w:p>
      <w:pPr>
        <w:jc w:val="both"/>
        <w:rPr>
          <w:b/>
          <w:bCs/>
          <w:sz w:val="24"/>
          <w:szCs w:val="24"/>
        </w:rPr>
      </w:pPr>
      <w:r>
        <w:rPr>
          <w:b/>
          <w:bCs/>
          <w:sz w:val="24"/>
          <w:szCs w:val="24"/>
          <w:lang w:val="en-US"/>
        </w:rPr>
        <w:t xml:space="preserve">Data</w:t>
      </w:r>
      <w:r>
        <w:rPr>
          <w:b/>
          <w:bCs/>
          <w:sz w:val="24"/>
          <w:szCs w:val="24"/>
        </w:rPr>
      </w:r>
      <w:r>
        <w:rPr>
          <w:b/>
          <w:bCs/>
          <w:sz w:val="24"/>
          <w:szCs w:val="24"/>
        </w:rPr>
      </w:r>
    </w:p>
    <w:p>
      <w:pPr>
        <w:ind w:firstLine="284"/>
        <w:jc w:val="both"/>
        <w:rPr>
          <w:sz w:val="20"/>
          <w:szCs w:val="20"/>
          <w:lang w:val="en-US"/>
          <w14:ligatures w14:val="none"/>
        </w:rPr>
      </w:pPr>
      <w:r>
        <w:rPr>
          <w:sz w:val="20"/>
          <w:szCs w:val="20"/>
          <w:lang w:val="en-US"/>
        </w:rPr>
      </w:r>
      <w:r>
        <w:rPr>
          <w:sz w:val="20"/>
          <w:szCs w:val="20"/>
          <w:lang w:val="en-US"/>
        </w:rPr>
        <w:t xml:space="preserve">We use measurements of energetic particles fluxes from the MEPED instruments on board the NOAA/POES and MetOp satellit</w:t>
      </w:r>
      <w:r>
        <w:rPr>
          <w:sz w:val="20"/>
          <w:szCs w:val="20"/>
          <w:lang w:val="en-US"/>
        </w:rPr>
        <w:t xml:space="preserve">es</w:t>
      </w:r>
      <w:r>
        <w:rPr>
          <w:sz w:val="20"/>
          <w:szCs w:val="20"/>
          <w:lang w:val="en-US"/>
        </w:rPr>
        <w:t xml:space="preserve">. The MEPED telescope includes detectors of electrons and protons with energy in the  keV and MeV ranges with two orthogonal orientations: vertical (0</w:t>
      </w:r>
      <w:r>
        <w:rPr>
          <w:rFonts w:hint="default" w:ascii="Abyssinica SIL" w:hAnsi="Abyssinica SIL" w:eastAsia="Abyssinica SIL" w:cs="Abyssinica SIL"/>
          <w:sz w:val="20"/>
          <w:szCs w:val="20"/>
          <w:lang w:val="en-US"/>
        </w:rPr>
        <w:t xml:space="preserve">°</w:t>
      </w:r>
      <w:r>
        <w:rPr>
          <w:sz w:val="20"/>
          <w:szCs w:val="20"/>
          <w:lang w:val="en-US"/>
        </w:rPr>
        <w:t xml:space="preserve">-detector) and horizontal (90</w:t>
      </w:r>
      <w:r>
        <w:rPr>
          <w:rFonts w:hint="default" w:ascii="Abyssinica SIL" w:hAnsi="Abyssinica SIL" w:eastAsia="Abyssinica SIL" w:cs="Abyssinica SIL"/>
          <w:sz w:val="20"/>
          <w:szCs w:val="20"/>
          <w:lang w:val="en-US"/>
        </w:rPr>
        <w:t xml:space="preserve">°</w:t>
      </w:r>
      <w:r>
        <w:rPr>
          <w:sz w:val="20"/>
          <w:szCs w:val="20"/>
          <w:lang w:val="en-US"/>
        </w:rPr>
        <w:t xml:space="preserve">-detector). The </w:t>
      </w:r>
      <w:r>
        <w:rPr>
          <w:sz w:val="20"/>
          <w:szCs w:val="20"/>
          <w:lang w:val="en-US"/>
        </w:rPr>
        <w:t xml:space="preserve">0</w:t>
      </w:r>
      <w:r>
        <w:rPr>
          <w:rFonts w:hint="default" w:ascii="Abyssinica SIL" w:hAnsi="Abyssinica SIL" w:eastAsia="Abyssinica SIL" w:cs="Abyssinica SIL"/>
          <w:sz w:val="20"/>
          <w:szCs w:val="20"/>
          <w:lang w:val="en-US"/>
        </w:rPr>
        <w:t xml:space="preserve">°</w:t>
      </w:r>
      <w:r>
        <w:rPr>
          <w:sz w:val="20"/>
          <w:szCs w:val="20"/>
          <w:lang w:val="en-US"/>
        </w:rPr>
        <w:t xml:space="preserve">-detector</w:t>
      </w:r>
      <w:r>
        <w:rPr>
          <w:sz w:val="20"/>
          <w:szCs w:val="20"/>
          <w:lang w:val="en-US"/>
        </w:rPr>
        <w:t xml:space="preserve"> measures quasi-trapped particles at the equator and precipitating particles at high-latitudes, while </w:t>
      </w:r>
      <w:r>
        <w:rPr>
          <w:sz w:val="20"/>
          <w:szCs w:val="20"/>
          <w:lang w:val="en-US"/>
        </w:rPr>
        <w:t xml:space="preserve">the 9</w:t>
      </w:r>
      <w:r>
        <w:rPr>
          <w:sz w:val="20"/>
          <w:szCs w:val="20"/>
          <w:lang w:val="en-US"/>
        </w:rPr>
        <w:t xml:space="preserve">0</w:t>
      </w:r>
      <w:r>
        <w:rPr>
          <w:rFonts w:hint="default" w:ascii="Abyssinica SIL" w:hAnsi="Abyssinica SIL" w:eastAsia="Abyssinica SIL" w:cs="Abyssinica SIL"/>
          <w:sz w:val="20"/>
          <w:szCs w:val="20"/>
          <w:lang w:val="en-US"/>
        </w:rPr>
        <w:t xml:space="preserve">°</w:t>
      </w:r>
      <w:r>
        <w:rPr>
          <w:sz w:val="20"/>
          <w:szCs w:val="20"/>
          <w:lang w:val="en-US"/>
        </w:rPr>
        <w:t xml:space="preserve">-detector - </w:t>
      </w:r>
      <w:r>
        <w:rPr>
          <w:sz w:val="20"/>
          <w:szCs w:val="20"/>
          <w:lang w:val="en-US"/>
        </w:rPr>
        <w:t xml:space="preserve">vice versa</w:t>
      </w:r>
      <w:r>
        <w:rPr>
          <w:sz w:val="20"/>
          <w:szCs w:val="20"/>
          <w:lang w:val="en-US"/>
        </w:rPr>
        <w:t xml:space="preserve">. </w:t>
      </w:r>
      <w:r>
        <w:rPr>
          <w:sz w:val="20"/>
          <w:szCs w:val="20"/>
          <w:lang w:val="en-US"/>
        </w:rPr>
        <w:t xml:space="preserve">We use the data on &gt;30 keV protons and electrons.</w:t>
      </w:r>
      <w:r>
        <w:rPr>
          <w:sz w:val="20"/>
          <w:szCs w:val="20"/>
          <w:lang w:val="en-US"/>
          <w14:ligatures w14:val="none"/>
        </w:rPr>
      </w:r>
      <w:r>
        <w:rPr>
          <w:sz w:val="20"/>
          <w:szCs w:val="20"/>
          <w:lang w:val="en-US"/>
          <w14:ligatures w14:val="none"/>
        </w:rPr>
      </w:r>
    </w:p>
    <w:p>
      <w:pPr>
        <w:ind w:firstLine="284"/>
        <w:jc w:val="both"/>
        <w:rPr>
          <w:sz w:val="20"/>
          <w:szCs w:val="20"/>
          <w:lang w:val="en-US"/>
          <w14:ligatures w14:val="none"/>
        </w:rPr>
      </w:pPr>
      <w:r>
        <w:rPr>
          <w:sz w:val="20"/>
          <w:szCs w:val="20"/>
          <w:highlight w:val="none"/>
          <w:lang w:val="en-US"/>
        </w:rPr>
      </w:r>
      <w:r>
        <w:rPr>
          <w:sz w:val="20"/>
          <w:szCs w:val="20"/>
          <w:lang w:val="en-US"/>
          <w14:ligatures w14:val="none"/>
        </w:rPr>
      </w:r>
      <w:r>
        <w:rPr>
          <w:sz w:val="20"/>
          <w:szCs w:val="20"/>
          <w:lang w:val="en-US"/>
          <w14:ligatures w14:val="none"/>
        </w:rPr>
      </w:r>
    </w:p>
    <w:p>
      <w:pPr>
        <w:jc w:val="both"/>
        <w:rPr>
          <w:b/>
          <w:bCs/>
          <w:sz w:val="24"/>
          <w:szCs w:val="24"/>
        </w:rPr>
      </w:pPr>
      <w:r>
        <w:rPr>
          <w:b/>
          <w:bCs/>
          <w:sz w:val="24"/>
          <w:szCs w:val="24"/>
          <w:lang w:val="en-US"/>
        </w:rPr>
        <w:t xml:space="preserve">Results</w:t>
      </w:r>
      <w:r>
        <w:rPr>
          <w:b/>
          <w:bCs/>
          <w:sz w:val="24"/>
          <w:szCs w:val="24"/>
        </w:rPr>
      </w:r>
      <w:r>
        <w:rPr>
          <w:b/>
          <w:bCs/>
          <w:sz w:val="24"/>
          <w:szCs w:val="24"/>
        </w:rPr>
      </w:r>
    </w:p>
    <w:p>
      <w:pPr>
        <w:ind w:left="0" w:right="0" w:firstLine="283"/>
        <w:jc w:val="both"/>
        <w:rPr>
          <w:sz w:val="20"/>
          <w:szCs w:val="20"/>
          <w:lang w:val="en-US"/>
        </w:rPr>
      </w:pPr>
      <w:r>
        <w:rPr>
          <w:sz w:val="20"/>
          <w:szCs w:val="20"/>
          <w:lang w:val="en-US"/>
        </w:rPr>
      </w:r>
      <w:r>
        <w:rPr>
          <w:sz w:val="20"/>
          <w:szCs w:val="20"/>
          <w:lang w:val="en-US"/>
        </w:rPr>
        <w:t xml:space="preserve">The radial transport mechanism involves both energetic electrons and protons. </w:t>
      </w:r>
      <w:r>
        <w:rPr>
          <w:sz w:val="20"/>
          <w:szCs w:val="20"/>
          <w:lang w:val="en-US"/>
        </w:rPr>
        <w:t xml:space="preserve">Previous analysis</w:t>
      </w:r>
      <w:r>
        <w:rPr>
          <w:sz w:val="20"/>
          <w:szCs w:val="20"/>
          <w:lang w:val="en-US"/>
        </w:rPr>
        <w:t xml:space="preserve"> showed that the electron fluxes (FEE event) enhanced </w:t>
      </w:r>
      <w:r>
        <w:rPr>
          <w:sz w:val="20"/>
          <w:szCs w:val="20"/>
          <w:lang w:val="en-US"/>
        </w:rPr>
        <w:t xml:space="preserve">during this storm</w:t>
      </w:r>
      <w:r>
        <w:rPr>
          <w:sz w:val="20"/>
          <w:szCs w:val="20"/>
          <w:lang w:val="en-US"/>
        </w:rPr>
        <w:t xml:space="preserve"> [4]. It was found that the first electron </w:t>
      </w:r>
      <w:r>
        <w:rPr>
          <w:sz w:val="20"/>
          <w:szCs w:val="20"/>
          <w:lang w:val="en-US"/>
        </w:rPr>
        <w:t xml:space="preserve">injection</w:t>
      </w:r>
      <w:r>
        <w:rPr>
          <w:sz w:val="20"/>
          <w:szCs w:val="20"/>
          <w:lang w:val="en-US"/>
        </w:rPr>
        <w:t xml:space="preserve"> </w:t>
      </w:r>
      <w:r>
        <w:rPr>
          <w:sz w:val="20"/>
          <w:szCs w:val="20"/>
          <w:lang w:val="en-US"/>
        </w:rPr>
        <w:t xml:space="preserve">occurred about 19:20 UT, more than 2 hours after SSC (~17:06 UT), during the main phase on 10 May 2024. </w:t>
      </w:r>
      <w:r>
        <w:rPr>
          <w:sz w:val="20"/>
          <w:szCs w:val="20"/>
          <w:lang w:val="en-US"/>
        </w:rPr>
        <w:t xml:space="preserve">The main phase developed from 18 UT on 10 May until 02:20 UT</w:t>
      </w:r>
      <w:r>
        <w:rPr>
          <w:sz w:val="20"/>
          <w:szCs w:val="20"/>
          <w:lang w:val="en-US"/>
        </w:rPr>
        <w:t xml:space="preserve"> </w:t>
      </w:r>
      <w:r>
        <w:rPr>
          <w:sz w:val="20"/>
          <w:szCs w:val="20"/>
          <w:lang w:val="en-US"/>
        </w:rPr>
        <w:t xml:space="preserve">on 11 May, reaching a maximum </w:t>
      </w:r>
      <w:r>
        <w:rPr>
          <w:sz w:val="20"/>
          <w:szCs w:val="20"/>
          <w:lang w:val="en-US"/>
        </w:rPr>
        <w:t xml:space="preserve">storm index </w:t>
      </w:r>
      <w:r>
        <w:rPr>
          <w:sz w:val="20"/>
          <w:szCs w:val="20"/>
          <w:lang w:val="en-US"/>
        </w:rPr>
        <w:t xml:space="preserve">of SYM-H = -5</w:t>
      </w:r>
      <w:r>
        <w:rPr>
          <w:sz w:val="20"/>
          <w:szCs w:val="20"/>
          <w:lang w:val="en-US"/>
        </w:rPr>
        <w:t xml:space="preserve">12</w:t>
      </w:r>
      <w:r>
        <w:rPr>
          <w:sz w:val="20"/>
          <w:szCs w:val="20"/>
          <w:lang w:val="en-US"/>
        </w:rPr>
        <w:t xml:space="preserve"> </w:t>
      </w:r>
      <w:r>
        <w:rPr>
          <w:sz w:val="20"/>
          <w:szCs w:val="20"/>
          <w:lang w:val="en-US"/>
        </w:rPr>
        <w:t xml:space="preserve">nT.</w:t>
      </w:r>
      <w:r>
        <w:rPr>
          <w:sz w:val="20"/>
          <w:szCs w:val="20"/>
          <w:lang w:val="en-US"/>
        </w:rPr>
        <w:t xml:space="preserve"> </w:t>
      </w:r>
      <w:r>
        <w:rPr>
          <w:sz w:val="20"/>
          <w:szCs w:val="20"/>
          <w:lang w:val="en-US"/>
        </w:rPr>
        <w:t xml:space="preserve">The solar wind pressure stayed strong and exhibited several sharp large increases and decreases which were manifested in corresponding variations of SYM-H index [4, see for details].</w:t>
      </w:r>
      <w:r>
        <w:rPr>
          <w:sz w:val="20"/>
          <w:szCs w:val="20"/>
          <w:lang w:val="en-US"/>
        </w:rPr>
        <w:t xml:space="preserve"> </w:t>
      </w:r>
      <w:r>
        <w:rPr>
          <w:sz w:val="20"/>
          <w:szCs w:val="20"/>
          <w:lang w:val="en-US"/>
        </w:rPr>
        <w:t xml:space="preserve">The present study is focuse</w:t>
      </w:r>
      <w:r>
        <w:rPr>
          <w:sz w:val="20"/>
          <w:szCs w:val="20"/>
          <w:lang w:val="en-US"/>
        </w:rPr>
        <w:t xml:space="preserve">d on dynamics of</w:t>
      </w:r>
      <w:r>
        <w:rPr>
          <w:sz w:val="20"/>
          <w:szCs w:val="20"/>
          <w:lang w:val="en-US"/>
        </w:rPr>
        <w:t xml:space="preserve"> the &gt;30 keV quasi-trapped protons during the beginning of the superstorm on 10 May 2024 in order to find out the time of their possible injection.</w:t>
      </w:r>
      <w:r>
        <w:rPr>
          <w:sz w:val="20"/>
          <w:szCs w:val="20"/>
          <w:lang w:val="en-US"/>
        </w:rPr>
      </w:r>
      <w:r>
        <w:rPr>
          <w:sz w:val="20"/>
          <w:szCs w:val="20"/>
          <w:lang w:val="en-US"/>
        </w:rPr>
      </w:r>
    </w:p>
    <w:p>
      <w:pPr>
        <w:ind w:left="0" w:right="0" w:firstLine="0"/>
        <w:jc w:val="left"/>
        <w:spacing w:before="85" w:beforeAutospacing="0" w:after="85" w:afterAutospacing="0"/>
        <w:rPr>
          <w:sz w:val="20"/>
          <w:szCs w:val="20"/>
          <w:highlight w:val="none"/>
          <w:lang w:val="en-US"/>
        </w:rPr>
      </w:pPr>
      <w:r>
        <w:rPr>
          <w:sz w:val="20"/>
          <w:szCs w:val="20"/>
          <w:highlight w:val="none"/>
          <w:lang w:val="en-US"/>
        </w:rPr>
      </w:r>
      <w:r>
        <mc:AlternateContent>
          <mc:Choice Requires="wpg">
            <w:drawing>
              <wp:inline xmlns:wp="http://schemas.openxmlformats.org/drawingml/2006/wordprocessingDrawing" distT="0" distB="0" distL="0" distR="0">
                <wp:extent cx="2876565" cy="2227103"/>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30262" name=""/>
                        <pic:cNvPicPr>
                          <a:picLocks noChangeAspect="1"/>
                        </pic:cNvPicPr>
                        <pic:nvPr/>
                      </pic:nvPicPr>
                      <pic:blipFill>
                        <a:blip r:embed="rId10"/>
                        <a:stretch/>
                      </pic:blipFill>
                      <pic:spPr bwMode="auto">
                        <a:xfrm flipH="0" flipV="0">
                          <a:off x="0" y="0"/>
                          <a:ext cx="2876564" cy="222710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26.50pt;height:175.36pt;mso-wrap-distance-left:0.00pt;mso-wrap-distance-top:0.00pt;mso-wrap-distance-right:0.00pt;mso-wrap-distance-bottom:0.00pt;" stroked="false">
                <v:path textboxrect="0,0,0,0"/>
                <v:imagedata r:id="rId10" o:title=""/>
              </v:shape>
            </w:pict>
          </mc:Fallback>
        </mc:AlternateContent>
      </w:r>
      <w:r>
        <w:rPr>
          <w:sz w:val="20"/>
          <w:szCs w:val="20"/>
          <w:highlight w:val="none"/>
          <w:lang w:val="en-US"/>
        </w:rPr>
        <w:t xml:space="preserve"> </w:t>
      </w:r>
      <w:r>
        <mc:AlternateContent>
          <mc:Choice Requires="wpg">
            <w:drawing>
              <wp:inline xmlns:wp="http://schemas.openxmlformats.org/drawingml/2006/wordprocessingDrawing" distT="0" distB="0" distL="0" distR="0">
                <wp:extent cx="2876565" cy="223849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17190" name=""/>
                        <pic:cNvPicPr>
                          <a:picLocks noChangeAspect="1"/>
                        </pic:cNvPicPr>
                        <pic:nvPr/>
                      </pic:nvPicPr>
                      <pic:blipFill>
                        <a:blip r:embed="rId11"/>
                        <a:stretch/>
                      </pic:blipFill>
                      <pic:spPr bwMode="auto">
                        <a:xfrm rot="0" flipH="0" flipV="0">
                          <a:off x="0" y="0"/>
                          <a:ext cx="2876564" cy="22384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26.50pt;height:176.26pt;mso-wrap-distance-left:0.00pt;mso-wrap-distance-top:0.00pt;mso-wrap-distance-right:0.00pt;mso-wrap-distance-bottom:0.00pt;rotation:0;" stroked="false">
                <v:path textboxrect="0,0,0,0"/>
                <v:imagedata r:id="rId11" o:title=""/>
              </v:shape>
            </w:pict>
          </mc:Fallback>
        </mc:AlternateContent>
      </w:r>
      <w:r>
        <w:rPr>
          <w:sz w:val="20"/>
          <w:szCs w:val="20"/>
          <w:highlight w:val="none"/>
          <w:lang w:val="en-US"/>
        </w:rPr>
      </w:r>
      <w:r>
        <w:rPr>
          <w:sz w:val="20"/>
          <w:szCs w:val="20"/>
          <w:highlight w:val="none"/>
          <w:lang w:val="en-US"/>
        </w:rPr>
      </w:r>
    </w:p>
    <w:tbl>
      <w:tblPr>
        <w:tblStyle w:val="692"/>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ook w:val="04A0" w:firstRow="1" w:lastRow="0" w:firstColumn="1" w:lastColumn="0" w:noHBand="0" w:noVBand="1"/>
      </w:tblPr>
      <w:tblGrid>
        <w:gridCol w:w="4785"/>
        <w:gridCol w:w="4785"/>
      </w:tblGrid>
      <w:tr>
        <w:tblPrEx/>
        <w:trPr/>
        <w:tc>
          <w:tcPr>
            <w:tcBorders>
              <w:top w:val="none" w:color="000000" w:sz="4" w:space="0"/>
              <w:left w:val="none" w:color="000000" w:sz="4" w:space="0"/>
              <w:bottom w:val="none" w:color="000000" w:sz="4" w:space="0"/>
              <w:right w:val="none" w:color="000000" w:sz="4" w:space="0"/>
            </w:tcBorders>
            <w:tcW w:w="4785" w:type="dxa"/>
            <w:textDirection w:val="lrTb"/>
            <w:noWrap w:val="false"/>
          </w:tcPr>
          <w:p>
            <w:pPr>
              <w:jc w:val="both"/>
              <w:rPr>
                <w:sz w:val="20"/>
                <w:szCs w:val="20"/>
                <w:highlight w:val="none"/>
                <w:lang w:val="en-US"/>
              </w:rPr>
            </w:pPr>
            <w:r>
              <w:rPr>
                <w:b/>
                <w:bCs/>
                <w:sz w:val="20"/>
                <w:szCs w:val="20"/>
                <w:lang w:val="en-US"/>
              </w:rPr>
              <w:t xml:space="preserve">Figure 1.</w:t>
            </w:r>
            <w:r>
              <w:rPr>
                <w:sz w:val="20"/>
                <w:szCs w:val="20"/>
                <w:lang w:val="en-US"/>
              </w:rPr>
              <w:t xml:space="preserve"> Geographic maps of maximal &gt;30 keV proton fluxes during storm days </w:t>
            </w:r>
            <w:r>
              <w:rPr>
                <w:sz w:val="20"/>
                <w:szCs w:val="20"/>
                <w:lang w:val="en-US"/>
              </w:rPr>
              <w:t xml:space="preserve">May 10 and 11, 2024. M</w:t>
            </w:r>
            <w:r>
              <w:rPr>
                <w:sz w:val="20"/>
                <w:szCs w:val="20"/>
                <w:lang w:val="en-US"/>
              </w:rPr>
              <w:t xml:space="preserve">easurements</w:t>
            </w:r>
            <w:r>
              <w:rPr>
                <w:sz w:val="20"/>
                <w:szCs w:val="20"/>
                <w:lang w:val="en-US"/>
              </w:rPr>
              <w:t xml:space="preserve"> of </w:t>
            </w:r>
            <w:r>
              <w:rPr>
                <w:sz w:val="20"/>
                <w:szCs w:val="20"/>
                <w:lang w:val="en-US"/>
              </w:rPr>
              <w:t xml:space="preserve">vertical detector (a,b) and horizontal detector (c,d). The black curve indicates the dip equator.</w:t>
            </w:r>
            <w:r>
              <w:rPr>
                <w:sz w:val="20"/>
                <w:szCs w:val="20"/>
                <w:lang w:val="en-US"/>
              </w:rPr>
              <w:t xml:space="preserve"> Numbers 1-3 indicate tracks with pitch-angle anisotropy.</w:t>
            </w:r>
            <w:r>
              <w:rPr>
                <w:sz w:val="20"/>
                <w:szCs w:val="20"/>
                <w:highlight w:val="none"/>
                <w:lang w:val="en-US"/>
              </w:rPr>
            </w:r>
            <w:r>
              <w:rPr>
                <w:sz w:val="20"/>
                <w:szCs w:val="20"/>
                <w:highlight w:val="none"/>
                <w:lang w:val="en-US"/>
              </w:rPr>
            </w:r>
          </w:p>
        </w:tc>
        <w:tc>
          <w:tcPr>
            <w:tcBorders>
              <w:left w:val="none" w:color="000000" w:sz="4" w:space="0"/>
            </w:tcBorders>
            <w:tcW w:w="4785" w:type="dxa"/>
            <w:textDirection w:val="lrTb"/>
            <w:noWrap w:val="false"/>
          </w:tcPr>
          <w:p>
            <w:pPr>
              <w:jc w:val="both"/>
              <w:rPr>
                <w:sz w:val="20"/>
                <w:szCs w:val="20"/>
                <w:lang w:val="en-US"/>
              </w:rPr>
            </w:pPr>
            <w:r>
              <w:rPr>
                <w:b/>
                <w:bCs/>
                <w:sz w:val="20"/>
                <w:szCs w:val="20"/>
                <w:lang w:val="en-US"/>
              </w:rPr>
              <w:t xml:space="preserve">Figure 2.</w:t>
            </w:r>
            <w:r>
              <w:rPr>
                <w:sz w:val="20"/>
                <w:szCs w:val="20"/>
                <w:lang w:val="en-US"/>
              </w:rPr>
              <w:t xml:space="preserve"> Geographic maps of maximal &gt;30 keV electron fluxes during storm days </w:t>
            </w:r>
            <w:r>
              <w:rPr>
                <w:sz w:val="20"/>
                <w:szCs w:val="20"/>
                <w:lang w:val="en-US"/>
              </w:rPr>
              <w:t xml:space="preserve">May 10 and 11, 2024. M</w:t>
            </w:r>
            <w:r>
              <w:rPr>
                <w:sz w:val="20"/>
                <w:szCs w:val="20"/>
                <w:lang w:val="en-US"/>
              </w:rPr>
              <w:t xml:space="preserve">easurements</w:t>
            </w:r>
            <w:r>
              <w:rPr>
                <w:sz w:val="20"/>
                <w:szCs w:val="20"/>
                <w:lang w:val="en-US"/>
              </w:rPr>
              <w:t xml:space="preserve"> of </w:t>
            </w:r>
            <w:r>
              <w:rPr>
                <w:sz w:val="20"/>
                <w:szCs w:val="20"/>
                <w:lang w:val="en-US"/>
              </w:rPr>
              <w:t xml:space="preserve">vertical detector (a,b) and horizontal detector (c,d). The black curve indicates the dip equator.</w:t>
            </w:r>
            <w:r>
              <w:rPr>
                <w:sz w:val="20"/>
                <w:szCs w:val="20"/>
                <w:lang w:val="en-US"/>
              </w:rPr>
            </w:r>
            <w:r>
              <w:rPr>
                <w:sz w:val="20"/>
                <w:szCs w:val="20"/>
                <w:lang w:val="en-US"/>
              </w:rPr>
            </w:r>
          </w:p>
          <w:p>
            <w:pPr>
              <w:jc w:val="both"/>
              <w:rPr>
                <w:b w:val="0"/>
                <w:bCs w:val="0"/>
                <w:sz w:val="20"/>
                <w:szCs w:val="20"/>
              </w:rPr>
            </w:pPr>
            <w:r>
              <w:rPr>
                <w:b w:val="0"/>
                <w:bCs w:val="0"/>
                <w:sz w:val="20"/>
                <w:szCs w:val="20"/>
                <w:lang w:val="en-US"/>
              </w:rPr>
              <w:t xml:space="preserve">FEE enhancements are observed by vertical detectors.</w:t>
            </w:r>
            <w:r>
              <w:rPr>
                <w:b w:val="0"/>
                <w:bCs w:val="0"/>
                <w:sz w:val="20"/>
                <w:szCs w:val="20"/>
              </w:rPr>
            </w:r>
            <w:r>
              <w:rPr>
                <w:b w:val="0"/>
                <w:bCs w:val="0"/>
                <w:sz w:val="20"/>
                <w:szCs w:val="20"/>
              </w:rPr>
            </w:r>
          </w:p>
        </w:tc>
      </w:tr>
    </w:tbl>
    <w:p>
      <w:pPr>
        <w:ind w:firstLine="284"/>
        <w:jc w:val="both"/>
        <w:spacing w:before="85" w:beforeAutospacing="0"/>
        <w:rPr>
          <w:sz w:val="20"/>
          <w:szCs w:val="20"/>
          <w:highlight w:val="none"/>
          <w:lang w:val="en-US"/>
          <w14:ligatures w14:val="none"/>
        </w:rPr>
      </w:pPr>
      <w:r>
        <w:rPr>
          <w:sz w:val="20"/>
          <w:szCs w:val="20"/>
          <w:lang w:val="en-US"/>
        </w:rPr>
        <w:t xml:space="preserve">Fig. 1 and Fig. 2 show global maps of fluxes of protons and electrons with the energy </w:t>
      </w:r>
      <w:r>
        <w:rPr>
          <w:sz w:val="20"/>
          <w:szCs w:val="20"/>
          <w:lang w:val="en-US"/>
        </w:rPr>
        <w:t xml:space="preserve">&gt;30 keV during two storm days</w:t>
      </w:r>
      <w:r>
        <w:rPr>
          <w:sz w:val="20"/>
          <w:szCs w:val="20"/>
          <w:lang w:val="en-US"/>
        </w:rPr>
        <w:t xml:space="preserve"> 10-11 May. </w:t>
      </w:r>
      <w:r>
        <w:rPr>
          <w:sz w:val="20"/>
          <w:szCs w:val="20"/>
          <w:lang w:val="en-US"/>
        </w:rPr>
        <w:t xml:space="preserve">During the storm, the forbidden zone at low latitudes was </w:t>
      </w:r>
      <w:r>
        <w:rPr>
          <w:sz w:val="20"/>
          <w:szCs w:val="20"/>
          <w:lang w:val="en-US"/>
        </w:rPr>
        <w:t xml:space="preserve">temporally </w:t>
      </w:r>
      <w:r>
        <w:rPr>
          <w:sz w:val="20"/>
          <w:szCs w:val="20"/>
          <w:lang w:val="en-US"/>
        </w:rPr>
        <w:t xml:space="preserve">populated by energetic electrons</w:t>
      </w:r>
      <w:r>
        <w:rPr>
          <w:sz w:val="20"/>
          <w:szCs w:val="20"/>
          <w:lang w:val="en-US"/>
        </w:rPr>
        <w:t xml:space="preserve"> and protons</w:t>
      </w:r>
      <w:r>
        <w:rPr>
          <w:sz w:val="20"/>
          <w:szCs w:val="20"/>
          <w:lang w:val="en-US"/>
        </w:rPr>
        <w:t xml:space="preserve">, but b</w:t>
      </w:r>
      <w:r>
        <w:rPr>
          <w:sz w:val="20"/>
          <w:szCs w:val="20"/>
          <w:lang w:val="en-US"/>
        </w:rPr>
        <w:t xml:space="preserve">ehavior of protons and electrons at low latitudes is different. </w:t>
      </w:r>
      <w:r>
        <w:rPr>
          <w:sz w:val="20"/>
          <w:szCs w:val="20"/>
          <w:lang w:val="en-US"/>
        </w:rPr>
        <w:t xml:space="preserve">The forbidden zone extends in ~20° vicinity of the dip equator excepting the region of South Atlantic Anomaly (SAA) located in the longitudinal sector from 100</w:t>
      </w:r>
      <w:r>
        <w:rPr>
          <w:sz w:val="20"/>
          <w:szCs w:val="20"/>
          <w:lang w:val="en-US"/>
        </w:rPr>
        <w:t xml:space="preserve">°</w:t>
      </w:r>
      <w:r>
        <w:rPr>
          <w:sz w:val="20"/>
          <w:szCs w:val="20"/>
          <w:lang w:val="en-US"/>
        </w:rPr>
        <w:t xml:space="preserve">W to 0</w:t>
      </w:r>
      <w:r>
        <w:rPr>
          <w:sz w:val="20"/>
          <w:szCs w:val="20"/>
          <w:lang w:val="en-US"/>
        </w:rPr>
        <w:t xml:space="preserve">°</w:t>
      </w:r>
      <w:r>
        <w:rPr>
          <w:sz w:val="20"/>
          <w:szCs w:val="20"/>
          <w:lang w:val="en-US"/>
        </w:rPr>
        <w:t xml:space="preserve">E. Q</w:t>
      </w:r>
      <w:r>
        <w:rPr>
          <w:sz w:val="20"/>
          <w:szCs w:val="20"/>
          <w:lang w:val="en-US"/>
        </w:rPr>
        <w:t xml:space="preserve">uasi-tra</w:t>
      </w:r>
      <w:r>
        <w:rPr>
          <w:sz w:val="20"/>
          <w:szCs w:val="20"/>
          <w:lang w:val="en-US"/>
        </w:rPr>
        <w:t xml:space="preserve">pped</w:t>
      </w:r>
      <w:r>
        <w:rPr>
          <w:sz w:val="20"/>
          <w:szCs w:val="20"/>
          <w:lang w:val="en-US"/>
        </w:rPr>
        <w:t xml:space="preserve"> electrons </w:t>
      </w:r>
      <w:r>
        <w:rPr>
          <w:sz w:val="20"/>
          <w:szCs w:val="20"/>
          <w:lang w:val="en-US"/>
        </w:rPr>
        <w:t xml:space="preserve">(Fig. 2a,b)</w:t>
      </w:r>
      <w:r>
        <w:rPr>
          <w:sz w:val="20"/>
          <w:szCs w:val="20"/>
          <w:lang w:val="en-US"/>
        </w:rPr>
        <w:t xml:space="preserve"> enhanced in the forbidden zone (FEE event) west of SAA, in particular at the the equator, whereas precipitating electrons (Fig. 2c,d) d</w:t>
      </w:r>
      <w:r>
        <w:rPr>
          <w:sz w:val="20"/>
          <w:szCs w:val="20"/>
          <w:lang w:val="en-US"/>
        </w:rPr>
        <w:t xml:space="preserve">id not.</w:t>
      </w:r>
      <w:r>
        <w:rPr>
          <w:sz w:val="20"/>
          <w:szCs w:val="20"/>
          <w:lang w:val="en-US"/>
        </w:rPr>
        <w:t xml:space="preserve"> Both </w:t>
      </w:r>
      <w:r>
        <w:rPr>
          <w:sz w:val="20"/>
          <w:szCs w:val="20"/>
          <w:lang w:val="en-US"/>
        </w:rPr>
        <w:t xml:space="preserve">quasi-tra</w:t>
      </w:r>
      <w:r>
        <w:rPr>
          <w:sz w:val="20"/>
          <w:szCs w:val="20"/>
          <w:lang w:val="en-US"/>
        </w:rPr>
        <w:t xml:space="preserve">pped</w:t>
      </w:r>
      <w:r>
        <w:rPr>
          <w:sz w:val="20"/>
          <w:szCs w:val="20"/>
          <w:lang w:val="en-US"/>
        </w:rPr>
        <w:t xml:space="preserve"> and precipitating protons fluxes </w:t>
      </w:r>
      <w:r>
        <w:rPr>
          <w:sz w:val="20"/>
          <w:szCs w:val="20"/>
          <w:lang w:val="en-US"/>
        </w:rPr>
        <w:t xml:space="preserve">enhanced over a wide range of latitudes </w:t>
      </w:r>
      <w:r>
        <w:rPr>
          <w:sz w:val="20"/>
          <w:szCs w:val="20"/>
          <w:lang w:val="en-US"/>
        </w:rPr>
        <w:t xml:space="preserve">(Fig. 1a,c) east of SAA,</w:t>
      </w:r>
      <w:r>
        <w:rPr>
          <w:sz w:val="20"/>
          <w:szCs w:val="20"/>
          <w:lang w:val="en-US"/>
        </w:rPr>
        <w:t xml:space="preserve"> finally occupying all longitudes</w:t>
      </w:r>
      <w:r>
        <w:rPr>
          <w:sz w:val="20"/>
          <w:szCs w:val="20"/>
          <w:lang w:val="en-US"/>
        </w:rPr>
        <w:t xml:space="preserve"> on 11 May (Fig. 1b,d). Thus, the key feature of the FEE event is an anisotropic flux in pitch-angle distribution. Protons exhibit an isotropic pitch-angle distribution, which is the main characteristics of storm ring current development. However, some </w:t>
      </w:r>
      <w:r>
        <w:rPr>
          <w:sz w:val="20"/>
          <w:szCs w:val="20"/>
          <w:lang w:val="en-US"/>
        </w:rPr>
        <w:t xml:space="preserve">tracks show evidence of </w:t>
      </w:r>
      <w:r>
        <w:rPr>
          <w:sz w:val="20"/>
          <w:szCs w:val="20"/>
          <w:lang w:val="en-US"/>
        </w:rPr>
        <w:t xml:space="preserve">anisotropic flux on 10 May (numbers 1-3 in Fig.1a,c)</w:t>
      </w:r>
      <w:r>
        <w:rPr>
          <w:sz w:val="20"/>
          <w:szCs w:val="20"/>
          <w:lang w:val="en-US"/>
        </w:rPr>
        <w:t xml:space="preserve">.</w:t>
      </w:r>
      <w:r>
        <w:rPr>
          <w:sz w:val="20"/>
          <w:szCs w:val="20"/>
          <w:highlight w:val="none"/>
          <w:lang w:val="en-US"/>
          <w14:ligatures w14:val="none"/>
        </w:rPr>
      </w:r>
      <w:r>
        <w:rPr>
          <w:sz w:val="20"/>
          <w:szCs w:val="20"/>
          <w:highlight w:val="none"/>
          <w:lang w:val="en-US"/>
          <w14:ligatures w14:val="none"/>
        </w:rPr>
      </w:r>
    </w:p>
    <w:p>
      <w:pPr>
        <w:ind w:left="0" w:right="0" w:firstLine="0"/>
        <w:jc w:val="both"/>
        <w:spacing w:before="85" w:beforeAutospacing="0"/>
        <w:rPr>
          <w:sz w:val="20"/>
          <w:szCs w:val="20"/>
          <w:lang w:val="en-US"/>
        </w:rPr>
      </w:pPr>
      <w:r>
        <w:rPr>
          <w:b/>
          <w:bCs/>
          <w:sz w:val="20"/>
          <w:szCs w:val="20"/>
          <w:lang w:val="en-US"/>
        </w:rPr>
        <w:t xml:space="preserve">T</w:t>
      </w:r>
      <w:r>
        <w:rPr>
          <w:b/>
          <w:bCs/>
          <w:sz w:val="20"/>
          <w:szCs w:val="20"/>
          <w:lang w:val="en-US"/>
        </w:rPr>
        <w:t xml:space="preserve">able</w:t>
      </w:r>
      <w:r>
        <w:rPr>
          <w:b/>
          <w:bCs/>
          <w:sz w:val="20"/>
          <w:szCs w:val="20"/>
          <w:lang w:val="en-US"/>
        </w:rPr>
        <w:t xml:space="preserve"> 1.</w:t>
      </w:r>
      <w:r>
        <w:rPr>
          <w:sz w:val="20"/>
          <w:szCs w:val="20"/>
          <w:lang w:val="en-US"/>
        </w:rPr>
        <w:t xml:space="preserve"> First injection of energetic particles below the inner ERB</w:t>
      </w:r>
      <w:r>
        <w:rPr>
          <w:sz w:val="20"/>
          <w:szCs w:val="20"/>
          <w:lang w:val="en-US"/>
        </w:rPr>
      </w:r>
      <w:r>
        <w:rPr>
          <w:sz w:val="20"/>
          <w:szCs w:val="20"/>
          <w:lang w:val="en-US"/>
        </w:rPr>
      </w:r>
    </w:p>
    <w:tbl>
      <w:tblPr>
        <w:tblW w:w="0" w:type="auto"/>
        <w:tblInd w:w="108" w:type="dxa"/>
        <w:tblBorders>
          <w:top w:val="single" w:color="000000" w:sz="4" w:space="0"/>
          <w:left w:val="single" w:color="000000" w:sz="4" w:space="0"/>
          <w:bottom w:val="single" w:color="000000" w:sz="4" w:space="0"/>
          <w:right w:val="single" w:color="000000" w:sz="4" w:space="0"/>
        </w:tblBorders>
        <w:tblLayout w:type="fixed"/>
        <w:tblLook w:val="04A0" w:firstRow="1" w:lastRow="0" w:firstColumn="1" w:lastColumn="0" w:noHBand="0" w:noVBand="1"/>
      </w:tblPr>
      <w:tblGrid>
        <w:gridCol w:w="540"/>
        <w:gridCol w:w="720"/>
        <w:gridCol w:w="900"/>
        <w:gridCol w:w="1080"/>
        <w:gridCol w:w="1440"/>
        <w:gridCol w:w="1530"/>
        <w:gridCol w:w="1440"/>
        <w:gridCol w:w="630"/>
      </w:tblGrid>
      <w:tr>
        <w:tblPrEx/>
        <w:trPr/>
        <w:tc>
          <w:tcPr>
            <w:tcBorders>
              <w:top w:val="single" w:color="000000" w:sz="4" w:space="0"/>
              <w:left w:val="single" w:color="000000" w:sz="4" w:space="0"/>
              <w:bottom w:val="single" w:color="000000" w:sz="4" w:space="0"/>
              <w:right w:val="single" w:color="000000" w:sz="4" w:space="0"/>
            </w:tcBorders>
            <w:tcW w:w="540" w:type="dxa"/>
            <w:textDirection w:val="lrTb"/>
            <w:noWrap w:val="false"/>
          </w:tcPr>
          <w:p>
            <w:pPr>
              <w:jc w:val="center"/>
              <w:rPr>
                <w:sz w:val="20"/>
                <w:szCs w:val="20"/>
                <w:lang w:val="en-US"/>
              </w:rPr>
            </w:pPr>
            <w:r>
              <w:rPr>
                <w:sz w:val="20"/>
                <w:szCs w:val="20"/>
                <w:lang w:val="en-US"/>
              </w:rPr>
              <w:t xml:space="preserve">SC</w:t>
            </w:r>
            <w:r>
              <w:rPr>
                <w:sz w:val="20"/>
                <w:szCs w:val="20"/>
                <w:lang w:val="en-US"/>
              </w:rPr>
            </w:r>
            <w:r>
              <w:rPr>
                <w:sz w:val="20"/>
                <w:szCs w:val="20"/>
                <w:lang w:val="en-US"/>
              </w:rPr>
            </w:r>
          </w:p>
          <w:p>
            <w:pPr>
              <w:ind w:firstLine="284"/>
              <w:jc w:val="center"/>
              <w:rPr>
                <w:sz w:val="20"/>
                <w:szCs w:val="20"/>
                <w:lang w:val="de-DE"/>
              </w:rPr>
            </w:pPr>
            <w:r>
              <w:rPr>
                <w:sz w:val="20"/>
                <w:szCs w:val="20"/>
                <w:lang w:val="de-DE"/>
              </w:rPr>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jc w:val="center"/>
              <w:rPr>
                <w:sz w:val="20"/>
                <w:szCs w:val="20"/>
                <w:lang w:val="en-US"/>
              </w:rPr>
            </w:pPr>
            <w:r>
              <w:rPr>
                <w:sz w:val="20"/>
                <w:szCs w:val="20"/>
                <w:lang w:val="en-US"/>
              </w:rPr>
              <w:t xml:space="preserve">LT</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center"/>
              <w:rPr>
                <w:sz w:val="20"/>
                <w:szCs w:val="20"/>
                <w:lang w:val="en-US"/>
              </w:rPr>
            </w:pPr>
            <w:r>
              <w:rPr>
                <w:sz w:val="20"/>
                <w:szCs w:val="20"/>
                <w:lang w:val="en-US"/>
              </w:rPr>
              <w:t xml:space="preserve">Time</w:t>
            </w:r>
            <w:r>
              <w:rPr>
                <w:sz w:val="20"/>
                <w:szCs w:val="20"/>
                <w:lang w:val="en-US"/>
              </w:rPr>
            </w:r>
            <w:r>
              <w:rPr>
                <w:sz w:val="20"/>
                <w:szCs w:val="20"/>
                <w:lang w:val="en-US"/>
              </w:rPr>
            </w:r>
          </w:p>
          <w:p>
            <w:pPr>
              <w:ind w:firstLine="284"/>
              <w:jc w:val="center"/>
              <w:rPr>
                <w:sz w:val="20"/>
                <w:szCs w:val="20"/>
                <w:lang w:val="en-US"/>
              </w:rPr>
            </w:pPr>
            <w:r>
              <w:rPr>
                <w:sz w:val="20"/>
                <w:szCs w:val="20"/>
                <w:lang w:val="en-US"/>
              </w:rPr>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080" w:type="dxa"/>
            <w:textDirection w:val="lrTb"/>
            <w:noWrap w:val="false"/>
          </w:tcPr>
          <w:p>
            <w:pPr>
              <w:jc w:val="center"/>
              <w:rPr>
                <w:sz w:val="20"/>
                <w:szCs w:val="20"/>
                <w:lang w:val="en-US"/>
              </w:rPr>
            </w:pPr>
            <w:r>
              <w:rPr>
                <w:sz w:val="20"/>
                <w:szCs w:val="20"/>
                <w:lang w:val="en-US"/>
              </w:rPr>
              <w:t xml:space="preserve">Long φ°</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rPr>
                <w:i/>
                <w:sz w:val="20"/>
                <w:szCs w:val="20"/>
                <w:lang w:val="de-DE"/>
              </w:rPr>
            </w:pPr>
            <w:r>
              <w:rPr>
                <w:i/>
                <w:sz w:val="20"/>
                <w:szCs w:val="20"/>
                <w:lang w:val="de-DE"/>
              </w:rPr>
              <w:t xml:space="preserve">Je</w:t>
            </w:r>
            <w:r>
              <w:rPr>
                <w:iCs/>
                <w:sz w:val="20"/>
                <w:szCs w:val="20"/>
                <w:lang w:val="de-DE"/>
              </w:rPr>
              <w:t xml:space="preserve">, </w:t>
            </w:r>
            <w:r>
              <w:rPr>
                <w:sz w:val="20"/>
                <w:szCs w:val="20"/>
                <w:lang w:val="en-US"/>
              </w:rPr>
              <w:t xml:space="preserve">(cm</w:t>
            </w:r>
            <w:r>
              <w:rPr>
                <w:sz w:val="20"/>
                <w:szCs w:val="20"/>
                <w:vertAlign w:val="superscript"/>
                <w:lang w:val="en-US"/>
              </w:rPr>
              <w:t xml:space="preserve">2</w:t>
            </w:r>
            <w:r>
              <w:rPr>
                <w:sz w:val="20"/>
                <w:szCs w:val="20"/>
                <w:lang w:val="en-US"/>
              </w:rPr>
              <w:t xml:space="preserve">s </w:t>
            </w:r>
            <w:r>
              <w:rPr>
                <w:sz w:val="20"/>
                <w:szCs w:val="20"/>
                <w:lang w:val="en-US"/>
              </w:rPr>
              <w:t xml:space="preserve">sr</w:t>
            </w:r>
            <w:r>
              <w:rPr>
                <w:sz w:val="20"/>
                <w:szCs w:val="20"/>
                <w:lang w:val="en-US"/>
              </w:rPr>
              <w:t xml:space="preserve">)</w:t>
            </w:r>
            <w:r>
              <w:rPr>
                <w:sz w:val="20"/>
                <w:szCs w:val="20"/>
                <w:vertAlign w:val="superscript"/>
                <w:lang w:val="en-US"/>
              </w:rPr>
              <w:t xml:space="preserve">-1</w:t>
            </w:r>
            <w:r>
              <w:rPr>
                <w:i/>
                <w:sz w:val="20"/>
                <w:szCs w:val="20"/>
                <w:lang w:val="de-DE"/>
              </w:rPr>
            </w:r>
            <w:r>
              <w:rPr>
                <w:i/>
                <w:sz w:val="20"/>
                <w:szCs w:val="20"/>
                <w:lang w:val="de-DE"/>
              </w:rPr>
            </w:r>
          </w:p>
          <w:p>
            <w:pPr>
              <w:ind w:firstLine="284"/>
              <w:rPr>
                <w:sz w:val="20"/>
                <w:szCs w:val="20"/>
                <w:lang w:val="en-US"/>
              </w:rPr>
            </w:pPr>
            <w:r>
              <w:rPr>
                <w:sz w:val="20"/>
                <w:szCs w:val="20"/>
                <w:lang w:val="en-US"/>
              </w:rPr>
              <w:t xml:space="preserve">&gt;40 keV</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530" w:type="dxa"/>
            <w:textDirection w:val="lrTb"/>
            <w:noWrap w:val="false"/>
          </w:tcPr>
          <w:p>
            <w:pPr>
              <w:rPr>
                <w:i/>
                <w:sz w:val="20"/>
                <w:szCs w:val="20"/>
                <w:lang w:val="en-US"/>
              </w:rPr>
            </w:pPr>
            <w:r>
              <w:rPr>
                <w:i/>
                <w:sz w:val="20"/>
                <w:szCs w:val="20"/>
                <w:lang w:val="de-DE"/>
              </w:rPr>
              <w:t xml:space="preserve">Je</w:t>
            </w:r>
            <w:r>
              <w:rPr>
                <w:iCs/>
                <w:sz w:val="20"/>
                <w:szCs w:val="20"/>
                <w:lang w:val="de-DE"/>
              </w:rPr>
              <w:t xml:space="preserve">, </w:t>
            </w:r>
            <w:r>
              <w:rPr>
                <w:sz w:val="20"/>
                <w:szCs w:val="20"/>
                <w:lang w:val="en-US"/>
              </w:rPr>
              <w:t xml:space="preserve">(cm</w:t>
            </w:r>
            <w:r>
              <w:rPr>
                <w:sz w:val="20"/>
                <w:szCs w:val="20"/>
                <w:vertAlign w:val="superscript"/>
                <w:lang w:val="en-US"/>
              </w:rPr>
              <w:t xml:space="preserve">2</w:t>
            </w:r>
            <w:r>
              <w:rPr>
                <w:sz w:val="20"/>
                <w:szCs w:val="20"/>
                <w:lang w:val="en-US"/>
              </w:rPr>
              <w:t xml:space="preserve">s </w:t>
            </w:r>
            <w:r>
              <w:rPr>
                <w:sz w:val="20"/>
                <w:szCs w:val="20"/>
                <w:lang w:val="en-US"/>
              </w:rPr>
              <w:t xml:space="preserve">sr</w:t>
            </w:r>
            <w:r>
              <w:rPr>
                <w:sz w:val="20"/>
                <w:szCs w:val="20"/>
                <w:lang w:val="en-US"/>
              </w:rPr>
              <w:t xml:space="preserve">)</w:t>
            </w:r>
            <w:r>
              <w:rPr>
                <w:sz w:val="20"/>
                <w:szCs w:val="20"/>
                <w:vertAlign w:val="superscript"/>
                <w:lang w:val="en-US"/>
              </w:rPr>
              <w:t xml:space="preserve">-1</w:t>
            </w:r>
            <w:r>
              <w:rPr>
                <w:i/>
                <w:sz w:val="20"/>
                <w:szCs w:val="20"/>
                <w:lang w:val="en-US"/>
              </w:rPr>
            </w:r>
            <w:r>
              <w:rPr>
                <w:i/>
                <w:sz w:val="20"/>
                <w:szCs w:val="20"/>
                <w:lang w:val="en-US"/>
              </w:rPr>
            </w:r>
          </w:p>
          <w:p>
            <w:pPr>
              <w:jc w:val="center"/>
              <w:rPr>
                <w:sz w:val="20"/>
                <w:szCs w:val="20"/>
                <w:lang w:val="en-US"/>
              </w:rPr>
            </w:pPr>
            <w:r>
              <w:rPr>
                <w:sz w:val="20"/>
                <w:szCs w:val="20"/>
                <w:lang w:val="en-US"/>
              </w:rPr>
              <w:t xml:space="preserve">&gt;130 keV</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rPr>
                <w:i/>
                <w:sz w:val="20"/>
                <w:szCs w:val="20"/>
                <w:lang w:val="en-US"/>
              </w:rPr>
            </w:pPr>
            <w:r>
              <w:rPr>
                <w:i/>
                <w:sz w:val="20"/>
                <w:szCs w:val="20"/>
                <w:lang w:val="de-DE"/>
              </w:rPr>
              <w:t xml:space="preserve">Jp</w:t>
            </w:r>
            <w:r>
              <w:rPr>
                <w:iCs/>
                <w:sz w:val="20"/>
                <w:szCs w:val="20"/>
                <w:lang w:val="de-DE"/>
              </w:rPr>
              <w:t xml:space="preserve">, </w:t>
            </w:r>
            <w:r>
              <w:rPr>
                <w:sz w:val="20"/>
                <w:szCs w:val="20"/>
                <w:lang w:val="en-US"/>
              </w:rPr>
              <w:t xml:space="preserve">(cm</w:t>
            </w:r>
            <w:r>
              <w:rPr>
                <w:sz w:val="20"/>
                <w:szCs w:val="20"/>
                <w:vertAlign w:val="superscript"/>
                <w:lang w:val="en-US"/>
              </w:rPr>
              <w:t xml:space="preserve">2</w:t>
            </w:r>
            <w:r>
              <w:rPr>
                <w:sz w:val="20"/>
                <w:szCs w:val="20"/>
                <w:lang w:val="en-US"/>
              </w:rPr>
              <w:t xml:space="preserve">s </w:t>
            </w:r>
            <w:r>
              <w:rPr>
                <w:sz w:val="20"/>
                <w:szCs w:val="20"/>
                <w:lang w:val="en-US"/>
              </w:rPr>
              <w:t xml:space="preserve">sr</w:t>
            </w:r>
            <w:r>
              <w:rPr>
                <w:sz w:val="20"/>
                <w:szCs w:val="20"/>
                <w:lang w:val="en-US"/>
              </w:rPr>
              <w:t xml:space="preserve">)</w:t>
            </w:r>
            <w:r>
              <w:rPr>
                <w:sz w:val="20"/>
                <w:szCs w:val="20"/>
                <w:vertAlign w:val="superscript"/>
                <w:lang w:val="en-US"/>
              </w:rPr>
              <w:t xml:space="preserve">-1</w:t>
            </w:r>
            <w:r>
              <w:rPr>
                <w:i/>
                <w:sz w:val="20"/>
                <w:szCs w:val="20"/>
                <w:lang w:val="en-US"/>
              </w:rPr>
            </w:r>
            <w:r>
              <w:rPr>
                <w:i/>
                <w:sz w:val="20"/>
                <w:szCs w:val="20"/>
                <w:lang w:val="en-US"/>
              </w:rPr>
            </w:r>
          </w:p>
          <w:p>
            <w:pPr>
              <w:jc w:val="center"/>
              <w:rPr>
                <w:sz w:val="20"/>
                <w:szCs w:val="20"/>
                <w:lang w:val="en-US"/>
              </w:rPr>
            </w:pPr>
            <w:r>
              <w:rPr>
                <w:sz w:val="20"/>
                <w:szCs w:val="20"/>
                <w:lang w:val="en-US"/>
              </w:rPr>
              <w:t xml:space="preserve">&gt;30 keV</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630" w:type="dxa"/>
            <w:textDirection w:val="lrTb"/>
            <w:noWrap w:val="false"/>
          </w:tcPr>
          <w:p>
            <w:pPr>
              <w:rPr>
                <w:i/>
                <w:sz w:val="20"/>
                <w:szCs w:val="20"/>
                <w:lang w:val="en-US"/>
              </w:rPr>
            </w:pPr>
            <w:r>
              <w:rPr>
                <w:i/>
                <w:sz w:val="20"/>
                <w:szCs w:val="20"/>
                <w:lang w:val="en-US"/>
              </w:rPr>
              <w:t xml:space="preserve">L</w:t>
            </w:r>
            <w:r>
              <w:rPr>
                <w:i/>
                <w:sz w:val="20"/>
                <w:szCs w:val="20"/>
                <w:lang w:val="en-US"/>
              </w:rPr>
            </w:r>
            <w:r>
              <w:rPr>
                <w:i/>
                <w:sz w:val="20"/>
                <w:szCs w:val="20"/>
                <w:lang w:val="en-US"/>
              </w:rPr>
            </w:r>
          </w:p>
        </w:tc>
      </w:tr>
      <w:tr>
        <w:tblPrEx/>
        <w:trPr/>
        <w:tc>
          <w:tcPr>
            <w:tcBorders>
              <w:top w:val="single" w:color="000000" w:sz="4" w:space="0"/>
              <w:left w:val="single" w:color="000000" w:sz="4" w:space="0"/>
              <w:bottom w:val="single" w:color="000000" w:sz="4" w:space="0"/>
              <w:right w:val="single" w:color="000000" w:sz="4" w:space="0"/>
            </w:tcBorders>
            <w:tcW w:w="540" w:type="dxa"/>
            <w:textDirection w:val="lrTb"/>
            <w:noWrap w:val="false"/>
          </w:tcPr>
          <w:p>
            <w:pPr>
              <w:jc w:val="both"/>
              <w:rPr>
                <w:sz w:val="20"/>
                <w:szCs w:val="20"/>
                <w:lang w:val="en-US"/>
              </w:rPr>
            </w:pPr>
            <w:r>
              <w:rPr>
                <w:sz w:val="20"/>
                <w:szCs w:val="20"/>
                <w:lang w:val="en-US"/>
              </w:rPr>
              <w:t xml:space="preserve">P8</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jc w:val="center"/>
              <w:rPr>
                <w:sz w:val="20"/>
                <w:szCs w:val="20"/>
                <w:lang w:val="en-US"/>
              </w:rPr>
            </w:pPr>
            <w:r>
              <w:rPr>
                <w:sz w:val="20"/>
                <w:szCs w:val="20"/>
                <w:lang w:val="en-US"/>
              </w:rPr>
              <w:t xml:space="preserve">10.5</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both"/>
              <w:rPr>
                <w:sz w:val="20"/>
                <w:szCs w:val="20"/>
                <w:lang w:val="en-US"/>
              </w:rPr>
            </w:pPr>
            <w:r>
              <w:rPr>
                <w:sz w:val="20"/>
                <w:szCs w:val="20"/>
                <w:lang w:val="en-US"/>
              </w:rPr>
              <w:t xml:space="preserve">19:00</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080" w:type="dxa"/>
            <w:textDirection w:val="lrTb"/>
            <w:noWrap w:val="false"/>
          </w:tcPr>
          <w:p>
            <w:pPr>
              <w:ind w:firstLine="284"/>
              <w:jc w:val="both"/>
              <w:rPr>
                <w:sz w:val="20"/>
                <w:szCs w:val="20"/>
                <w:lang w:val="en-US"/>
              </w:rPr>
            </w:pPr>
            <w:r>
              <w:rPr>
                <w:sz w:val="20"/>
                <w:szCs w:val="20"/>
                <w:lang w:val="en-US"/>
              </w:rPr>
              <w:t xml:space="preserve">-127</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center"/>
              <w:rPr>
                <w:sz w:val="20"/>
                <w:szCs w:val="20"/>
                <w:lang w:val="de-DE"/>
              </w:rPr>
            </w:pPr>
            <w:r>
              <w:rPr>
                <w:sz w:val="20"/>
                <w:szCs w:val="20"/>
                <w:lang w:val="de-DE"/>
              </w:rPr>
              <w:t xml:space="preserve">-</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530" w:type="dxa"/>
            <w:textDirection w:val="lrTb"/>
            <w:noWrap w:val="false"/>
          </w:tcPr>
          <w:p>
            <w:pPr>
              <w:ind w:firstLine="284"/>
              <w:jc w:val="center"/>
              <w:rPr>
                <w:sz w:val="20"/>
                <w:szCs w:val="20"/>
                <w:lang w:val="de-DE"/>
              </w:rPr>
            </w:pPr>
            <w:r>
              <w:rPr>
                <w:sz w:val="20"/>
                <w:szCs w:val="20"/>
                <w:lang w:val="de-DE"/>
              </w:rPr>
              <w:t xml:space="preserve">-</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both"/>
              <w:rPr>
                <w:sz w:val="20"/>
                <w:szCs w:val="20"/>
                <w:lang w:val="de-DE"/>
              </w:rPr>
            </w:pPr>
            <w:r>
              <w:rPr>
                <w:sz w:val="20"/>
                <w:szCs w:val="20"/>
                <w:lang w:val="de-DE"/>
              </w:rPr>
              <w:t xml:space="preserve">5E1</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630" w:type="dxa"/>
            <w:textDirection w:val="lrTb"/>
            <w:noWrap w:val="false"/>
          </w:tcPr>
          <w:p>
            <w:pPr>
              <w:jc w:val="both"/>
              <w:rPr>
                <w:sz w:val="20"/>
                <w:szCs w:val="20"/>
                <w:lang w:val="en-US"/>
              </w:rPr>
            </w:pPr>
            <w:r>
              <w:rPr>
                <w:sz w:val="20"/>
                <w:szCs w:val="20"/>
                <w:lang w:val="en-US"/>
              </w:rPr>
              <w:t xml:space="preserve">1.13</w:t>
            </w:r>
            <w:r>
              <w:rPr>
                <w:sz w:val="20"/>
                <w:szCs w:val="20"/>
                <w:lang w:val="en-US"/>
              </w:rPr>
            </w:r>
            <w:r>
              <w:rPr>
                <w:sz w:val="20"/>
                <w:szCs w:val="20"/>
                <w:lang w:val="en-US"/>
              </w:rPr>
            </w:r>
          </w:p>
        </w:tc>
      </w:tr>
      <w:tr>
        <w:tblPrEx/>
        <w:trPr/>
        <w:tc>
          <w:tcPr>
            <w:tcBorders>
              <w:top w:val="single" w:color="000000" w:sz="4" w:space="0"/>
              <w:left w:val="single" w:color="000000" w:sz="4" w:space="0"/>
              <w:bottom w:val="single" w:color="000000" w:sz="4" w:space="0"/>
              <w:right w:val="single" w:color="000000" w:sz="4" w:space="0"/>
            </w:tcBorders>
            <w:tcW w:w="540" w:type="dxa"/>
            <w:textDirection w:val="lrTb"/>
            <w:noWrap w:val="false"/>
          </w:tcPr>
          <w:p>
            <w:pPr>
              <w:jc w:val="both"/>
              <w:rPr>
                <w:sz w:val="20"/>
                <w:szCs w:val="20"/>
                <w:lang w:val="en-US"/>
              </w:rPr>
            </w:pPr>
            <w:r>
              <w:rPr>
                <w:sz w:val="20"/>
                <w:szCs w:val="20"/>
                <w:lang w:val="en-US"/>
              </w:rPr>
              <w:t xml:space="preserve">P3</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jc w:val="center"/>
              <w:rPr>
                <w:sz w:val="20"/>
                <w:szCs w:val="20"/>
                <w:lang w:val="en-US"/>
              </w:rPr>
            </w:pPr>
            <w:r>
              <w:rPr>
                <w:sz w:val="20"/>
                <w:szCs w:val="20"/>
                <w:lang w:val="en-US"/>
              </w:rPr>
              <w:t xml:space="preserve">9</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both"/>
              <w:rPr>
                <w:sz w:val="20"/>
                <w:szCs w:val="20"/>
                <w:lang w:val="en-US"/>
              </w:rPr>
            </w:pPr>
            <w:r>
              <w:rPr>
                <w:sz w:val="20"/>
                <w:szCs w:val="20"/>
                <w:lang w:val="en-US"/>
              </w:rPr>
              <w:t xml:space="preserve">19:12</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080" w:type="dxa"/>
            <w:textDirection w:val="lrTb"/>
            <w:noWrap w:val="false"/>
          </w:tcPr>
          <w:p>
            <w:pPr>
              <w:ind w:firstLine="284"/>
              <w:jc w:val="both"/>
              <w:rPr>
                <w:sz w:val="20"/>
                <w:szCs w:val="20"/>
                <w:lang w:val="en-US"/>
              </w:rPr>
            </w:pPr>
            <w:r>
              <w:rPr>
                <w:sz w:val="20"/>
                <w:szCs w:val="20"/>
                <w:lang w:val="en-US"/>
              </w:rPr>
              <w:t xml:space="preserve">-147</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center"/>
              <w:rPr>
                <w:sz w:val="20"/>
                <w:szCs w:val="20"/>
                <w:lang w:val="de-DE"/>
              </w:rPr>
            </w:pPr>
            <w:r>
              <w:rPr>
                <w:sz w:val="20"/>
                <w:szCs w:val="20"/>
                <w:lang w:val="de-DE"/>
              </w:rPr>
              <w:t xml:space="preserve">-</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530" w:type="dxa"/>
            <w:textDirection w:val="lrTb"/>
            <w:noWrap w:val="false"/>
          </w:tcPr>
          <w:p>
            <w:pPr>
              <w:ind w:firstLine="284"/>
              <w:jc w:val="center"/>
              <w:rPr>
                <w:sz w:val="20"/>
                <w:szCs w:val="20"/>
                <w:lang w:val="de-DE"/>
              </w:rPr>
            </w:pPr>
            <w:r>
              <w:rPr>
                <w:sz w:val="20"/>
                <w:szCs w:val="20"/>
                <w:lang w:val="de-DE"/>
              </w:rPr>
              <w:t xml:space="preserve">-</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both"/>
              <w:rPr>
                <w:sz w:val="20"/>
                <w:szCs w:val="20"/>
                <w:lang w:val="de-DE"/>
              </w:rPr>
            </w:pPr>
            <w:r>
              <w:rPr>
                <w:sz w:val="20"/>
                <w:szCs w:val="20"/>
                <w:lang w:val="de-DE"/>
              </w:rPr>
              <w:t xml:space="preserve">6E1</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630" w:type="dxa"/>
            <w:textDirection w:val="lrTb"/>
            <w:noWrap w:val="false"/>
          </w:tcPr>
          <w:p>
            <w:pPr>
              <w:jc w:val="both"/>
              <w:rPr>
                <w:sz w:val="20"/>
                <w:szCs w:val="20"/>
                <w:lang w:val="en-US"/>
              </w:rPr>
            </w:pPr>
            <w:r>
              <w:rPr>
                <w:sz w:val="20"/>
                <w:szCs w:val="20"/>
                <w:lang w:val="en-US"/>
              </w:rPr>
              <w:t xml:space="preserve">1.12</w:t>
            </w:r>
            <w:r>
              <w:rPr>
                <w:sz w:val="20"/>
                <w:szCs w:val="20"/>
                <w:lang w:val="en-US"/>
              </w:rPr>
            </w:r>
            <w:r>
              <w:rPr>
                <w:sz w:val="20"/>
                <w:szCs w:val="20"/>
                <w:lang w:val="en-US"/>
              </w:rPr>
            </w:r>
          </w:p>
        </w:tc>
      </w:tr>
      <w:tr>
        <w:tblPrEx/>
        <w:trPr/>
        <w:tc>
          <w:tcPr>
            <w:tcBorders>
              <w:top w:val="single" w:color="000000" w:sz="4" w:space="0"/>
              <w:left w:val="single" w:color="000000" w:sz="4" w:space="0"/>
              <w:bottom w:val="single" w:color="000000" w:sz="4" w:space="0"/>
              <w:right w:val="single" w:color="000000" w:sz="4" w:space="0"/>
            </w:tcBorders>
            <w:tcW w:w="540" w:type="dxa"/>
            <w:textDirection w:val="lrTb"/>
            <w:noWrap w:val="false"/>
          </w:tcPr>
          <w:p>
            <w:pPr>
              <w:jc w:val="both"/>
              <w:rPr>
                <w:sz w:val="20"/>
                <w:szCs w:val="20"/>
                <w:lang w:val="en-US"/>
              </w:rPr>
            </w:pPr>
            <w:r>
              <w:rPr>
                <w:sz w:val="20"/>
                <w:szCs w:val="20"/>
                <w:lang w:val="en-US"/>
              </w:rPr>
              <w:t xml:space="preserve">P9</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jc w:val="center"/>
              <w:rPr>
                <w:sz w:val="20"/>
                <w:szCs w:val="20"/>
                <w:lang w:val="en-US"/>
              </w:rPr>
            </w:pPr>
            <w:r>
              <w:rPr>
                <w:sz w:val="20"/>
                <w:szCs w:val="20"/>
                <w:lang w:val="en-US"/>
              </w:rPr>
              <w:t xml:space="preserve">9</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both"/>
              <w:rPr>
                <w:sz w:val="20"/>
                <w:szCs w:val="20"/>
                <w:lang w:val="en-US"/>
              </w:rPr>
            </w:pPr>
            <w:r>
              <w:rPr>
                <w:sz w:val="20"/>
                <w:szCs w:val="20"/>
                <w:lang w:val="en-US"/>
              </w:rPr>
              <w:t xml:space="preserve">19:22</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080" w:type="dxa"/>
            <w:textDirection w:val="lrTb"/>
            <w:noWrap w:val="false"/>
          </w:tcPr>
          <w:p>
            <w:pPr>
              <w:ind w:firstLine="284"/>
              <w:jc w:val="both"/>
              <w:rPr>
                <w:sz w:val="20"/>
                <w:szCs w:val="20"/>
                <w:lang w:val="en-US"/>
              </w:rPr>
            </w:pPr>
            <w:r>
              <w:rPr>
                <w:sz w:val="20"/>
                <w:szCs w:val="20"/>
                <w:lang w:val="en-US"/>
              </w:rPr>
              <w:t xml:space="preserve">-153</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both"/>
              <w:rPr>
                <w:sz w:val="20"/>
                <w:szCs w:val="20"/>
                <w:lang w:val="de-DE"/>
              </w:rPr>
            </w:pPr>
            <w:r>
              <w:rPr>
                <w:sz w:val="20"/>
                <w:szCs w:val="20"/>
                <w:lang w:val="de-DE"/>
              </w:rPr>
              <w:t xml:space="preserve">7E4</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530" w:type="dxa"/>
            <w:textDirection w:val="lrTb"/>
            <w:noWrap w:val="false"/>
          </w:tcPr>
          <w:p>
            <w:pPr>
              <w:ind w:firstLine="284"/>
              <w:jc w:val="both"/>
              <w:rPr>
                <w:sz w:val="20"/>
                <w:szCs w:val="20"/>
                <w:lang w:val="de-DE"/>
              </w:rPr>
            </w:pPr>
            <w:r>
              <w:rPr>
                <w:sz w:val="20"/>
                <w:szCs w:val="20"/>
                <w:lang w:val="de-DE"/>
              </w:rPr>
              <w:t xml:space="preserve">5E4</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both"/>
              <w:rPr>
                <w:sz w:val="20"/>
                <w:szCs w:val="20"/>
                <w:lang w:val="de-DE"/>
              </w:rPr>
            </w:pPr>
            <w:r>
              <w:rPr>
                <w:sz w:val="20"/>
                <w:szCs w:val="20"/>
                <w:lang w:val="de-DE"/>
              </w:rPr>
              <w:t xml:space="preserve">5E1</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630" w:type="dxa"/>
            <w:textDirection w:val="lrTb"/>
            <w:noWrap w:val="false"/>
          </w:tcPr>
          <w:p>
            <w:pPr>
              <w:jc w:val="both"/>
              <w:rPr>
                <w:sz w:val="20"/>
                <w:szCs w:val="20"/>
                <w:lang w:val="en-US"/>
              </w:rPr>
            </w:pPr>
            <w:r>
              <w:rPr>
                <w:sz w:val="20"/>
                <w:szCs w:val="20"/>
                <w:lang w:val="en-US"/>
              </w:rPr>
              <w:t xml:space="preserve">1.11</w:t>
            </w:r>
            <w:r>
              <w:rPr>
                <w:sz w:val="20"/>
                <w:szCs w:val="20"/>
                <w:lang w:val="en-US"/>
              </w:rPr>
            </w:r>
            <w:r>
              <w:rPr>
                <w:sz w:val="20"/>
                <w:szCs w:val="20"/>
                <w:lang w:val="en-US"/>
              </w:rPr>
            </w:r>
          </w:p>
        </w:tc>
      </w:tr>
      <w:tr>
        <w:tblPrEx/>
        <w:trPr/>
        <w:tc>
          <w:tcPr>
            <w:tcBorders>
              <w:top w:val="single" w:color="000000" w:sz="4" w:space="0"/>
              <w:left w:val="single" w:color="000000" w:sz="4" w:space="0"/>
              <w:bottom w:val="single" w:color="000000" w:sz="4" w:space="0"/>
              <w:right w:val="single" w:color="000000" w:sz="4" w:space="0"/>
            </w:tcBorders>
            <w:tcW w:w="540" w:type="dxa"/>
            <w:textDirection w:val="lrTb"/>
            <w:noWrap w:val="false"/>
          </w:tcPr>
          <w:p>
            <w:pPr>
              <w:jc w:val="both"/>
              <w:rPr>
                <w:sz w:val="20"/>
                <w:szCs w:val="20"/>
                <w:lang w:val="en-US"/>
              </w:rPr>
            </w:pPr>
            <w:r>
              <w:rPr>
                <w:sz w:val="20"/>
                <w:szCs w:val="20"/>
                <w:lang w:val="en-US"/>
              </w:rPr>
              <w:t xml:space="preserve">P5</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720" w:type="dxa"/>
            <w:textDirection w:val="lrTb"/>
            <w:noWrap w:val="false"/>
          </w:tcPr>
          <w:p>
            <w:pPr>
              <w:jc w:val="center"/>
              <w:rPr>
                <w:sz w:val="20"/>
                <w:szCs w:val="20"/>
                <w:lang w:val="en-US"/>
              </w:rPr>
            </w:pPr>
            <w:r>
              <w:rPr>
                <w:sz w:val="20"/>
                <w:szCs w:val="20"/>
                <w:lang w:val="en-US"/>
              </w:rPr>
              <w:t xml:space="preserve">7</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900" w:type="dxa"/>
            <w:textDirection w:val="lrTb"/>
            <w:noWrap w:val="false"/>
          </w:tcPr>
          <w:p>
            <w:pPr>
              <w:jc w:val="both"/>
              <w:rPr>
                <w:sz w:val="20"/>
                <w:szCs w:val="20"/>
                <w:lang w:val="en-US"/>
              </w:rPr>
            </w:pPr>
            <w:r>
              <w:rPr>
                <w:sz w:val="20"/>
                <w:szCs w:val="20"/>
                <w:lang w:val="en-US"/>
              </w:rPr>
              <w:t xml:space="preserve">19:37</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080" w:type="dxa"/>
            <w:textDirection w:val="lrTb"/>
            <w:noWrap w:val="false"/>
          </w:tcPr>
          <w:p>
            <w:pPr>
              <w:ind w:firstLine="284"/>
              <w:jc w:val="both"/>
              <w:rPr>
                <w:sz w:val="20"/>
                <w:szCs w:val="20"/>
                <w:lang w:val="en-US"/>
              </w:rPr>
            </w:pPr>
            <w:r>
              <w:rPr>
                <w:sz w:val="20"/>
                <w:szCs w:val="20"/>
                <w:lang w:val="en-US"/>
              </w:rPr>
              <w:t xml:space="preserve">+177</w:t>
            </w:r>
            <w:r>
              <w:rPr>
                <w:sz w:val="20"/>
                <w:szCs w:val="20"/>
                <w:lang w:val="en-US"/>
              </w:rPr>
            </w:r>
            <w:r>
              <w:rPr>
                <w:sz w:val="20"/>
                <w:szCs w:val="20"/>
                <w:lang w:val="en-US"/>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both"/>
              <w:rPr>
                <w:sz w:val="20"/>
                <w:szCs w:val="20"/>
                <w:lang w:val="de-DE"/>
              </w:rPr>
            </w:pPr>
            <w:r>
              <w:rPr>
                <w:sz w:val="20"/>
                <w:szCs w:val="20"/>
                <w:lang w:val="de-DE"/>
              </w:rPr>
              <w:t xml:space="preserve">3E6</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530" w:type="dxa"/>
            <w:textDirection w:val="lrTb"/>
            <w:noWrap w:val="false"/>
          </w:tcPr>
          <w:p>
            <w:pPr>
              <w:ind w:firstLine="284"/>
              <w:jc w:val="both"/>
              <w:rPr>
                <w:sz w:val="20"/>
                <w:szCs w:val="20"/>
                <w:lang w:val="de-DE"/>
              </w:rPr>
            </w:pPr>
            <w:r>
              <w:rPr>
                <w:sz w:val="20"/>
                <w:szCs w:val="20"/>
                <w:lang w:val="de-DE"/>
              </w:rPr>
              <w:t xml:space="preserve">1E6</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1440" w:type="dxa"/>
            <w:textDirection w:val="lrTb"/>
            <w:noWrap w:val="false"/>
          </w:tcPr>
          <w:p>
            <w:pPr>
              <w:ind w:firstLine="284"/>
              <w:jc w:val="both"/>
              <w:rPr>
                <w:sz w:val="20"/>
                <w:szCs w:val="20"/>
                <w:lang w:val="de-DE"/>
              </w:rPr>
            </w:pPr>
            <w:r>
              <w:rPr>
                <w:sz w:val="20"/>
                <w:szCs w:val="20"/>
                <w:lang w:val="de-DE"/>
              </w:rPr>
              <w:t xml:space="preserve">5E1</w:t>
            </w:r>
            <w:r>
              <w:rPr>
                <w:sz w:val="20"/>
                <w:szCs w:val="20"/>
                <w:lang w:val="de-DE"/>
              </w:rPr>
            </w:r>
            <w:r>
              <w:rPr>
                <w:sz w:val="20"/>
                <w:szCs w:val="20"/>
                <w:lang w:val="de-DE"/>
              </w:rPr>
            </w:r>
          </w:p>
        </w:tc>
        <w:tc>
          <w:tcPr>
            <w:tcBorders>
              <w:top w:val="single" w:color="000000" w:sz="4" w:space="0"/>
              <w:left w:val="single" w:color="000000" w:sz="4" w:space="0"/>
              <w:bottom w:val="single" w:color="000000" w:sz="4" w:space="0"/>
              <w:right w:val="single" w:color="000000" w:sz="4" w:space="0"/>
            </w:tcBorders>
            <w:tcW w:w="630" w:type="dxa"/>
            <w:textDirection w:val="lrTb"/>
            <w:noWrap w:val="false"/>
          </w:tcPr>
          <w:p>
            <w:pPr>
              <w:jc w:val="both"/>
              <w:rPr>
                <w:sz w:val="20"/>
                <w:szCs w:val="20"/>
                <w:lang w:val="en-US"/>
              </w:rPr>
            </w:pPr>
            <w:r>
              <w:rPr>
                <w:sz w:val="20"/>
                <w:szCs w:val="20"/>
                <w:lang w:val="en-US"/>
              </w:rPr>
              <w:t xml:space="preserve">1.10</w:t>
            </w:r>
            <w:r>
              <w:rPr>
                <w:sz w:val="20"/>
                <w:szCs w:val="20"/>
                <w:lang w:val="en-US"/>
              </w:rPr>
            </w:r>
            <w:r>
              <w:rPr>
                <w:sz w:val="20"/>
                <w:szCs w:val="20"/>
                <w:lang w:val="en-US"/>
              </w:rPr>
            </w:r>
          </w:p>
        </w:tc>
      </w:tr>
    </w:tbl>
    <w:p>
      <w:pPr>
        <w:ind w:firstLine="284"/>
        <w:jc w:val="both"/>
        <w:spacing w:before="85" w:beforeAutospacing="0"/>
        <w:rPr>
          <w:sz w:val="20"/>
          <w:szCs w:val="20"/>
          <w:highlight w:val="none"/>
          <w:lang w:val="en-US"/>
        </w:rPr>
      </w:pPr>
      <w:r>
        <w:rPr>
          <w:sz w:val="20"/>
          <w:szCs w:val="20"/>
          <w:lang w:val="en-US"/>
        </w:rPr>
      </w:r>
      <w:r>
        <w:rPr>
          <w:sz w:val="20"/>
          <w:szCs w:val="20"/>
          <w:lang w:val="en-US"/>
        </w:rPr>
        <w:t xml:space="preserve">In Fig. 1a (tracks no.2 and no.3)</w:t>
      </w:r>
      <w:r>
        <w:rPr>
          <w:sz w:val="20"/>
          <w:szCs w:val="20"/>
          <w:lang w:val="en-US"/>
        </w:rPr>
        <w:t xml:space="preserve"> and Table 1, moderately enhanced fluxes ~50 </w:t>
      </w:r>
      <w:r>
        <w:rPr>
          <w:sz w:val="20"/>
          <w:szCs w:val="20"/>
          <w:lang w:val="en-US"/>
        </w:rPr>
        <w:t xml:space="preserve">(cm</w:t>
      </w:r>
      <w:r>
        <w:rPr>
          <w:sz w:val="20"/>
          <w:szCs w:val="20"/>
          <w:vertAlign w:val="superscript"/>
          <w:lang w:val="en-US"/>
        </w:rPr>
        <w:t xml:space="preserve">2</w:t>
      </w:r>
      <w:r>
        <w:rPr>
          <w:sz w:val="20"/>
          <w:szCs w:val="20"/>
          <w:lang w:val="en-US"/>
        </w:rPr>
        <w:t xml:space="preserve"> s </w:t>
      </w:r>
      <w:r>
        <w:rPr>
          <w:sz w:val="20"/>
          <w:szCs w:val="20"/>
          <w:lang w:val="en-US"/>
        </w:rPr>
        <w:t xml:space="preserve">sr</w:t>
      </w:r>
      <w:r>
        <w:rPr>
          <w:sz w:val="20"/>
          <w:szCs w:val="20"/>
          <w:lang w:val="en-US"/>
        </w:rPr>
        <w:t xml:space="preserve">)</w:t>
      </w:r>
      <w:r>
        <w:rPr>
          <w:sz w:val="20"/>
          <w:szCs w:val="20"/>
          <w:vertAlign w:val="superscript"/>
          <w:lang w:val="en-US"/>
        </w:rPr>
        <w:t xml:space="preserve">-1</w:t>
      </w:r>
      <w:r>
        <w:rPr>
          <w:sz w:val="20"/>
          <w:szCs w:val="20"/>
          <w:lang w:val="en-US"/>
        </w:rPr>
        <w:t xml:space="preserve"> of &gt;30 keV protons occurred in ~20° vicinity of the dip equator above Pacific in the longitudinal sector from 170</w:t>
      </w:r>
      <w:r>
        <w:rPr>
          <w:sz w:val="20"/>
          <w:szCs w:val="20"/>
          <w:lang w:val="en-US"/>
        </w:rPr>
        <w:t xml:space="preserve">°</w:t>
      </w:r>
      <w:r>
        <w:rPr>
          <w:sz w:val="20"/>
          <w:szCs w:val="20"/>
          <w:lang w:val="en-US"/>
        </w:rPr>
        <w:t xml:space="preserve">E to 127</w:t>
      </w:r>
      <w:r>
        <w:rPr>
          <w:sz w:val="20"/>
          <w:szCs w:val="20"/>
          <w:lang w:val="en-US"/>
        </w:rPr>
        <w:t xml:space="preserve">°</w:t>
      </w:r>
      <w:r>
        <w:rPr>
          <w:sz w:val="20"/>
          <w:szCs w:val="20"/>
          <w:lang w:val="en-US"/>
        </w:rPr>
        <w:t xml:space="preserve">W at drift shells </w:t>
      </w:r>
      <w:r>
        <w:rPr>
          <w:i/>
          <w:iCs/>
          <w:sz w:val="20"/>
          <w:szCs w:val="20"/>
          <w:lang w:val="en-US"/>
        </w:rPr>
        <w:t xml:space="preserve">L &lt; </w:t>
      </w:r>
      <w:r>
        <w:rPr>
          <w:sz w:val="20"/>
          <w:szCs w:val="20"/>
          <w:lang w:val="en-US"/>
        </w:rPr>
        <w:t xml:space="preserve">1.13. </w:t>
      </w:r>
      <w:r>
        <w:rPr>
          <w:sz w:val="20"/>
          <w:szCs w:val="20"/>
          <w:lang w:val="en-US"/>
        </w:rPr>
        <w:t xml:space="preserve">We choose this interval of longitudes </w:t>
      </w:r>
      <w:r>
        <w:rPr>
          <w:sz w:val="20"/>
          <w:szCs w:val="20"/>
          <w:lang w:val="en-US"/>
        </w:rPr>
        <w:t xml:space="preserve">for further analysis of pitch-angle asymmetry. </w:t>
      </w:r>
      <w:r>
        <w:rPr>
          <w:sz w:val="20"/>
          <w:szCs w:val="20"/>
          <w:lang w:val="en-US"/>
        </w:rPr>
        <w:t xml:space="preserve">The enhancements in this region were observed by three POES satellites in the prenoon sector </w:t>
      </w:r>
      <w:r>
        <w:rPr>
          <w:sz w:val="20"/>
          <w:szCs w:val="20"/>
          <w:lang w:val="en-US"/>
        </w:rPr>
        <w:t xml:space="preserve">from 17 to 21 UT</w:t>
      </w:r>
      <w:r>
        <w:rPr>
          <w:sz w:val="20"/>
          <w:szCs w:val="20"/>
          <w:lang w:val="en-US"/>
        </w:rPr>
        <w:t xml:space="preserve"> (Fig.3). The </w:t>
      </w:r>
      <w:r>
        <w:rPr>
          <w:sz w:val="20"/>
          <w:szCs w:val="20"/>
          <w:lang w:val="en-US"/>
        </w:rPr>
        <w:t xml:space="preserve">satellites moved one-by-one such that P8 passed the equator ~12 min earlier than P3 satellite. </w:t>
      </w:r>
      <w:r>
        <w:rPr>
          <w:sz w:val="20"/>
          <w:szCs w:val="20"/>
          <w:lang w:val="en-US"/>
        </w:rPr>
        <w:t xml:space="preserve">In Fig.3, the background flux is about </w:t>
      </w:r>
      <w:r>
        <w:rPr>
          <w:sz w:val="20"/>
          <w:szCs w:val="20"/>
          <w:lang w:val="en-US"/>
        </w:rPr>
        <w:t xml:space="preserve">~10 </w:t>
      </w:r>
      <w:r>
        <w:rPr>
          <w:sz w:val="20"/>
          <w:szCs w:val="20"/>
          <w:lang w:val="en-US"/>
        </w:rPr>
        <w:t xml:space="preserve">(cm</w:t>
      </w:r>
      <w:r>
        <w:rPr>
          <w:sz w:val="20"/>
          <w:szCs w:val="20"/>
          <w:vertAlign w:val="superscript"/>
          <w:lang w:val="en-US"/>
        </w:rPr>
        <w:t xml:space="preserve">2</w:t>
      </w:r>
      <w:r>
        <w:rPr>
          <w:sz w:val="20"/>
          <w:szCs w:val="20"/>
          <w:lang w:val="en-US"/>
        </w:rPr>
        <w:t xml:space="preserve"> s </w:t>
      </w:r>
      <w:r>
        <w:rPr>
          <w:sz w:val="20"/>
          <w:szCs w:val="20"/>
          <w:lang w:val="en-US"/>
        </w:rPr>
        <w:t xml:space="preserve">sr</w:t>
      </w:r>
      <w:r>
        <w:rPr>
          <w:sz w:val="20"/>
          <w:szCs w:val="20"/>
          <w:lang w:val="en-US"/>
        </w:rPr>
        <w:t xml:space="preserve">)</w:t>
      </w:r>
      <w:r>
        <w:rPr>
          <w:sz w:val="20"/>
          <w:szCs w:val="20"/>
          <w:vertAlign w:val="superscript"/>
          <w:lang w:val="en-US"/>
        </w:rPr>
        <w:t xml:space="preserve">-1</w:t>
      </w:r>
      <w:r>
        <w:rPr>
          <w:sz w:val="20"/>
          <w:szCs w:val="20"/>
          <w:lang w:val="en-US"/>
        </w:rPr>
        <w:t xml:space="preserve">, the </w:t>
      </w:r>
      <w:r>
        <w:rPr>
          <w:sz w:val="20"/>
          <w:szCs w:val="20"/>
          <w:lang w:val="en-US"/>
        </w:rPr>
        <w:t xml:space="preserve">equatorial proton fluxes &gt;10</w:t>
      </w:r>
      <w:r>
        <w:rPr>
          <w:sz w:val="20"/>
          <w:szCs w:val="20"/>
          <w:vertAlign w:val="superscript"/>
          <w:lang w:val="en-US"/>
        </w:rPr>
        <w:t xml:space="preserve">3</w:t>
      </w:r>
      <w:r>
        <w:rPr>
          <w:sz w:val="20"/>
          <w:szCs w:val="20"/>
          <w:lang w:val="en-US"/>
        </w:rPr>
        <w:t xml:space="preserve"> flux units are </w:t>
      </w:r>
      <w:r>
        <w:rPr>
          <w:sz w:val="20"/>
          <w:szCs w:val="20"/>
          <w:lang w:val="en-US"/>
        </w:rPr>
        <w:t xml:space="preserve">originated from the ring current (RC), they form</w:t>
      </w:r>
      <w:r>
        <w:rPr>
          <w:sz w:val="20"/>
          <w:szCs w:val="20"/>
          <w:lang w:val="en-US"/>
        </w:rPr>
        <w:t xml:space="preserve"> a smooth bell-shaped profile and have similar counterpart in the precipitating population (Fig. 1c).</w:t>
      </w:r>
      <w:r>
        <w:rPr>
          <w:sz w:val="20"/>
          <w:szCs w:val="20"/>
          <w:lang w:val="en-US"/>
        </w:rPr>
        <w:t xml:space="preserve"> The P1 satellite observed equatorial enhancements in precipitation and quasi-trapped protons, indicating isotropic </w:t>
      </w:r>
      <w:r>
        <w:rPr>
          <w:sz w:val="20"/>
          <w:szCs w:val="20"/>
          <w:lang w:val="en-US"/>
        </w:rPr>
        <w:t xml:space="preserve">fluxes, and, therefore</w:t>
      </w:r>
      <w:r>
        <w:rPr>
          <w:sz w:val="20"/>
          <w:szCs w:val="20"/>
          <w:lang w:val="en-US"/>
        </w:rPr>
        <w:t xml:space="preserve">, their belonging to the RC population</w:t>
      </w:r>
      <w:r>
        <w:rPr>
          <w:sz w:val="20"/>
          <w:szCs w:val="20"/>
          <w:lang w:val="en-US"/>
        </w:rPr>
        <w:t xml:space="preserve">. In contrast, the P8 and P3 satellites observe </w:t>
      </w:r>
      <w:r>
        <w:rPr>
          <w:sz w:val="20"/>
          <w:szCs w:val="20"/>
          <w:lang w:val="en-US"/>
        </w:rPr>
        <w:t xml:space="preserve">an increase</w:t>
      </w:r>
      <w:r>
        <w:rPr>
          <w:sz w:val="20"/>
          <w:szCs w:val="20"/>
          <w:lang w:val="en-US"/>
        </w:rPr>
        <w:t xml:space="preserve"> in the quasi-trapped population and no increase in the precipitating population.</w:t>
      </w:r>
      <w:r>
        <w:rPr>
          <w:sz w:val="20"/>
          <w:szCs w:val="20"/>
          <w:lang w:val="en-US"/>
        </w:rPr>
        <w:t xml:space="preserve"> The earliest enhancement of protons was observed at 19:00 UT on 10 May at longitude 127</w:t>
      </w:r>
      <w:r>
        <w:rPr>
          <w:sz w:val="20"/>
          <w:szCs w:val="20"/>
          <w:lang w:val="en-US"/>
        </w:rPr>
        <w:t xml:space="preserve">°</w:t>
      </w:r>
      <w:r>
        <w:rPr>
          <w:sz w:val="20"/>
          <w:szCs w:val="20"/>
          <w:lang w:val="en-US"/>
        </w:rPr>
        <w:t xml:space="preserve">W by P8 satellite and then at 19:12 UT at longitude 147</w:t>
      </w:r>
      <w:r>
        <w:rPr>
          <w:sz w:val="20"/>
          <w:szCs w:val="20"/>
          <w:lang w:val="en-US"/>
        </w:rPr>
        <w:t xml:space="preserve">°</w:t>
      </w:r>
      <w:r>
        <w:rPr>
          <w:sz w:val="20"/>
          <w:szCs w:val="20"/>
          <w:lang w:val="en-US"/>
        </w:rPr>
        <w:t xml:space="preserve">W by P3 satellite. </w:t>
      </w:r>
      <w:r>
        <w:rPr>
          <w:sz w:val="20"/>
          <w:szCs w:val="20"/>
          <w:lang w:val="en-US"/>
        </w:rPr>
        <w:t xml:space="preserve">We can suggest that these anisotropic increases at prenoon are due to injection of protons from the inner RB. </w:t>
      </w:r>
      <w:r>
        <w:rPr>
          <w:sz w:val="20"/>
          <w:szCs w:val="20"/>
          <w:highlight w:val="none"/>
          <w:lang w:val="en-US"/>
        </w:rPr>
      </w:r>
      <w:r>
        <w:rPr>
          <w:sz w:val="20"/>
          <w:szCs w:val="20"/>
          <w:highlight w:val="none"/>
          <w:lang w:val="en-US"/>
        </w:rPr>
      </w:r>
    </w:p>
    <w:p>
      <w:pPr>
        <w:ind w:firstLine="284"/>
        <w:jc w:val="both"/>
        <w:rPr>
          <w:sz w:val="20"/>
          <w:szCs w:val="20"/>
          <w:highlight w:val="none"/>
          <w:lang w:val="en-US"/>
        </w:rPr>
      </w:pPr>
      <w:r>
        <w:rPr>
          <w:sz w:val="20"/>
          <w:szCs w:val="20"/>
          <w:lang w:val="en-US"/>
        </w:rPr>
        <w:t xml:space="preserve">FEE enhancements occurred in the Pacific region</w:t>
      </w:r>
      <w:r>
        <w:rPr>
          <w:sz w:val="20"/>
          <w:szCs w:val="20"/>
          <w:lang w:val="en-US"/>
        </w:rPr>
        <w:t xml:space="preserve"> as one can see</w:t>
      </w:r>
      <w:r>
        <w:rPr>
          <w:sz w:val="20"/>
          <w:szCs w:val="20"/>
          <w:lang w:val="en-US"/>
        </w:rPr>
        <w:t xml:space="preserve"> </w:t>
      </w:r>
      <w:r>
        <w:rPr>
          <w:sz w:val="20"/>
          <w:szCs w:val="20"/>
          <w:lang w:val="en-US"/>
        </w:rPr>
        <w:t xml:space="preserve">i</w:t>
      </w:r>
      <w:r>
        <w:rPr>
          <w:sz w:val="20"/>
          <w:szCs w:val="20"/>
          <w:lang w:val="en-US"/>
        </w:rPr>
        <w:t xml:space="preserve">n Fig. </w:t>
      </w:r>
      <w:r>
        <w:rPr>
          <w:sz w:val="20"/>
          <w:szCs w:val="20"/>
          <w:lang w:val="en-US"/>
        </w:rPr>
        <w:t xml:space="preserve">2.</w:t>
      </w:r>
      <w:r>
        <w:rPr>
          <w:sz w:val="20"/>
          <w:szCs w:val="20"/>
          <w:lang w:val="en-US"/>
        </w:rPr>
        <w:t xml:space="preserve"> </w:t>
      </w:r>
      <w:r>
        <w:rPr>
          <w:sz w:val="20"/>
          <w:szCs w:val="20"/>
          <w:lang w:val="en-US"/>
        </w:rPr>
        <w:t xml:space="preserve">The</w:t>
      </w:r>
      <w:r>
        <w:rPr>
          <w:sz w:val="20"/>
          <w:szCs w:val="20"/>
          <w:lang w:val="en-US"/>
        </w:rPr>
        <w:t xml:space="preserve"> increases of electron fluxes </w:t>
      </w:r>
      <w:r>
        <w:rPr>
          <w:sz w:val="20"/>
          <w:szCs w:val="20"/>
          <w:lang w:val="en-US"/>
        </w:rPr>
        <w:t xml:space="preserve">were observed </w:t>
      </w:r>
      <w:r>
        <w:rPr>
          <w:sz w:val="20"/>
          <w:szCs w:val="20"/>
          <w:lang w:val="en-US"/>
        </w:rPr>
        <w:t xml:space="preserve">in ~20° vicinity of the dip equator in the latitudinal sector from 120</w:t>
      </w:r>
      <w:r>
        <w:rPr>
          <w:sz w:val="20"/>
          <w:szCs w:val="20"/>
          <w:lang w:val="en-US"/>
        </w:rPr>
        <w:t xml:space="preserve">°</w:t>
      </w:r>
      <w:r>
        <w:rPr>
          <w:sz w:val="20"/>
          <w:szCs w:val="20"/>
          <w:lang w:val="en-US"/>
        </w:rPr>
        <w:t xml:space="preserve">E to 140</w:t>
      </w:r>
      <w:r>
        <w:rPr>
          <w:sz w:val="20"/>
          <w:szCs w:val="20"/>
          <w:lang w:val="en-US"/>
        </w:rPr>
        <w:t xml:space="preserve">°</w:t>
      </w:r>
      <w:r>
        <w:rPr>
          <w:sz w:val="20"/>
          <w:szCs w:val="20"/>
          <w:lang w:val="en-US"/>
        </w:rPr>
        <w:t xml:space="preserve">W. </w:t>
      </w:r>
      <w:r>
        <w:rPr>
          <w:sz w:val="20"/>
          <w:szCs w:val="20"/>
          <w:lang w:val="en-US"/>
        </w:rPr>
        <w:t xml:space="preserve">In Table 1, electron enhancements were observed by P9 and P5 satellites</w:t>
      </w:r>
      <w:r>
        <w:rPr>
          <w:sz w:val="20"/>
          <w:szCs w:val="20"/>
          <w:lang w:val="en-US"/>
        </w:rPr>
        <w:t xml:space="preserve">. The first FEE enhancement </w:t>
      </w:r>
      <w:r>
        <w:rPr>
          <w:sz w:val="20"/>
          <w:szCs w:val="20"/>
          <w:lang w:val="en-US"/>
        </w:rPr>
        <w:t xml:space="preserve">occurred</w:t>
      </w:r>
      <w:r>
        <w:rPr>
          <w:sz w:val="20"/>
          <w:szCs w:val="20"/>
          <w:lang w:val="en-US"/>
        </w:rPr>
        <w:t xml:space="preserve"> at ~19:22 UT near drift shell </w:t>
      </w:r>
      <w:r>
        <w:rPr>
          <w:i/>
          <w:iCs/>
          <w:sz w:val="20"/>
          <w:szCs w:val="20"/>
          <w:lang w:val="en-US"/>
        </w:rPr>
        <w:t xml:space="preserve">L</w:t>
      </w:r>
      <w:r>
        <w:rPr>
          <w:sz w:val="20"/>
          <w:szCs w:val="20"/>
          <w:lang w:val="en-US"/>
        </w:rPr>
        <w:t xml:space="preserve">=1.11 (Table 1) in the prenoon sector at longitude 150</w:t>
      </w:r>
      <w:r>
        <w:rPr>
          <w:sz w:val="20"/>
          <w:szCs w:val="20"/>
          <w:lang w:val="en-US"/>
        </w:rPr>
        <w:t xml:space="preserve">°</w:t>
      </w:r>
      <w:r>
        <w:rPr>
          <w:sz w:val="20"/>
          <w:szCs w:val="20"/>
          <w:lang w:val="en-US"/>
        </w:rPr>
        <w:t xml:space="preserve">W. The intensity of electrons did not exceed 10</w:t>
      </w:r>
      <w:r>
        <w:rPr>
          <w:sz w:val="20"/>
          <w:szCs w:val="20"/>
          <w:vertAlign w:val="superscript"/>
          <w:lang w:val="en-US"/>
        </w:rPr>
        <w:t xml:space="preserve">5</w:t>
      </w:r>
      <w:r>
        <w:rPr>
          <w:sz w:val="20"/>
          <w:szCs w:val="20"/>
          <w:lang w:val="en-US"/>
        </w:rPr>
        <w:t xml:space="preserve"> </w:t>
      </w:r>
      <w:r>
        <w:rPr>
          <w:sz w:val="20"/>
          <w:szCs w:val="20"/>
          <w:lang w:val="en-US"/>
        </w:rPr>
        <w:t xml:space="preserve">(cm</w:t>
      </w:r>
      <w:r>
        <w:rPr>
          <w:sz w:val="20"/>
          <w:szCs w:val="20"/>
          <w:vertAlign w:val="superscript"/>
          <w:lang w:val="en-US"/>
        </w:rPr>
        <w:t xml:space="preserve">2</w:t>
      </w:r>
      <w:r>
        <w:rPr>
          <w:sz w:val="20"/>
          <w:szCs w:val="20"/>
          <w:lang w:val="en-US"/>
        </w:rPr>
        <w:t xml:space="preserve"> </w:t>
      </w:r>
      <w:r>
        <w:rPr>
          <w:sz w:val="20"/>
          <w:szCs w:val="20"/>
          <w:lang w:val="en-US"/>
        </w:rPr>
        <w:t xml:space="preserve">s </w:t>
      </w:r>
      <w:r>
        <w:rPr>
          <w:sz w:val="20"/>
          <w:szCs w:val="20"/>
          <w:lang w:val="en-US"/>
        </w:rPr>
        <w:t xml:space="preserve">sr</w:t>
      </w:r>
      <w:r>
        <w:rPr>
          <w:sz w:val="20"/>
          <w:szCs w:val="20"/>
          <w:lang w:val="en-US"/>
        </w:rPr>
        <w:t xml:space="preserve">)</w:t>
      </w:r>
      <w:r>
        <w:rPr>
          <w:sz w:val="20"/>
          <w:szCs w:val="20"/>
          <w:vertAlign w:val="superscript"/>
          <w:lang w:val="en-US"/>
        </w:rPr>
        <w:t xml:space="preserve">-1</w:t>
      </w:r>
      <w:r>
        <w:rPr>
          <w:sz w:val="20"/>
          <w:szCs w:val="20"/>
          <w:lang w:val="en-US"/>
        </w:rPr>
        <w:t xml:space="preserve">. The next FEE enhancement at 19:37 UT was much stronger (&gt;10</w:t>
      </w:r>
      <w:r>
        <w:rPr>
          <w:sz w:val="20"/>
          <w:szCs w:val="20"/>
          <w:vertAlign w:val="superscript"/>
          <w:lang w:val="en-US"/>
        </w:rPr>
        <w:t xml:space="preserve">6</w:t>
      </w:r>
      <w:r>
        <w:rPr>
          <w:sz w:val="20"/>
          <w:szCs w:val="20"/>
          <w:lang w:val="en-US"/>
        </w:rPr>
        <w:t xml:space="preserve"> </w:t>
      </w:r>
      <w:r>
        <w:rPr>
          <w:sz w:val="20"/>
          <w:szCs w:val="20"/>
          <w:lang w:val="en-US"/>
        </w:rPr>
        <w:t xml:space="preserve">(cm</w:t>
      </w:r>
      <w:r>
        <w:rPr>
          <w:sz w:val="20"/>
          <w:szCs w:val="20"/>
          <w:vertAlign w:val="superscript"/>
          <w:lang w:val="en-US"/>
        </w:rPr>
        <w:t xml:space="preserve">2</w:t>
      </w:r>
      <w:r>
        <w:rPr>
          <w:sz w:val="20"/>
          <w:szCs w:val="20"/>
          <w:lang w:val="en-US"/>
        </w:rPr>
        <w:t xml:space="preserve"> </w:t>
      </w:r>
      <w:r>
        <w:rPr>
          <w:sz w:val="20"/>
          <w:szCs w:val="20"/>
          <w:lang w:val="en-US"/>
        </w:rPr>
        <w:t xml:space="preserve">s </w:t>
      </w:r>
      <w:r>
        <w:rPr>
          <w:sz w:val="20"/>
          <w:szCs w:val="20"/>
          <w:lang w:val="en-US"/>
        </w:rPr>
        <w:t xml:space="preserve">sr</w:t>
      </w:r>
      <w:r>
        <w:rPr>
          <w:sz w:val="20"/>
          <w:szCs w:val="20"/>
          <w:lang w:val="en-US"/>
        </w:rPr>
        <w:t xml:space="preserve">)</w:t>
      </w:r>
      <w:r>
        <w:rPr>
          <w:sz w:val="20"/>
          <w:szCs w:val="20"/>
          <w:vertAlign w:val="superscript"/>
          <w:lang w:val="en-US"/>
        </w:rPr>
        <w:t xml:space="preserve">-1</w:t>
      </w:r>
      <w:r>
        <w:rPr>
          <w:sz w:val="20"/>
          <w:szCs w:val="20"/>
          <w:lang w:val="en-US"/>
        </w:rPr>
        <w:t xml:space="preserve">) and observed deeper at </w:t>
      </w:r>
      <w:r>
        <w:rPr>
          <w:i/>
          <w:iCs/>
          <w:sz w:val="20"/>
          <w:szCs w:val="20"/>
          <w:lang w:val="en-US"/>
        </w:rPr>
        <w:t xml:space="preserve">L</w:t>
      </w:r>
      <w:r>
        <w:rPr>
          <w:sz w:val="20"/>
          <w:szCs w:val="20"/>
          <w:lang w:val="en-US"/>
        </w:rPr>
        <w:t xml:space="preserve"> = 1.1 in the morning sector at longitude 177</w:t>
      </w:r>
      <w:r>
        <w:rPr>
          <w:sz w:val="20"/>
          <w:szCs w:val="20"/>
          <w:lang w:val="en-US"/>
        </w:rPr>
        <w:t xml:space="preserve">°</w:t>
      </w:r>
      <w:r>
        <w:rPr>
          <w:sz w:val="20"/>
          <w:szCs w:val="20"/>
          <w:lang w:val="en-US"/>
        </w:rPr>
        <w:t xml:space="preserve">E. </w:t>
      </w:r>
      <w:r>
        <w:rPr>
          <w:sz w:val="20"/>
          <w:szCs w:val="20"/>
          <w:lang w:val="en-US"/>
        </w:rPr>
        <w:t xml:space="preserve">It is important that the enhancements were observed for &gt;30 keV and &gt;100 keV electrons simultaneously. This meant that this </w:t>
      </w:r>
      <w:r>
        <w:rPr>
          <w:sz w:val="20"/>
          <w:szCs w:val="20"/>
          <w:lang w:val="en-US"/>
        </w:rPr>
        <w:t xml:space="preserve">longitudinal sector is close to the region of electron injection from the inner RB. Otherwise, one could see only enhancements of &gt;30 keV because the &gt;100 keV electrons escape from the injection region quickly due to short period of the azimuth</w:t>
      </w:r>
      <w:r>
        <w:rPr>
          <w:sz w:val="20"/>
          <w:szCs w:val="20"/>
          <w:lang w:val="en-US"/>
        </w:rPr>
        <w:t xml:space="preserve">al d</w:t>
      </w:r>
      <w:r>
        <w:rPr>
          <w:sz w:val="20"/>
          <w:szCs w:val="20"/>
          <w:lang w:val="en-US"/>
        </w:rPr>
        <w:t xml:space="preserve">rift (Td ~ 4h), while the &gt;30 keV electrons have much longer azimuthal drift (Td ~ 15h) [4]. The consequence of the two enhancements with time gap of 15 min in the narrow longitudinal sector can be considered as manifestation of one long-lasting injection </w:t>
      </w:r>
      <w:r>
        <w:rPr>
          <w:sz w:val="20"/>
          <w:szCs w:val="20"/>
          <w:lang w:val="en-US"/>
        </w:rPr>
        <w:t xml:space="preserve">above</w:t>
      </w:r>
      <w:r>
        <w:rPr>
          <w:sz w:val="20"/>
          <w:szCs w:val="20"/>
          <w:lang w:val="en-US"/>
        </w:rPr>
        <w:t xml:space="preserve"> the Pacific region. </w:t>
      </w:r>
      <w:r>
        <w:rPr>
          <w:sz w:val="20"/>
          <w:szCs w:val="20"/>
          <w:lang w:val="en-US"/>
        </w:rPr>
        <w:t xml:space="preserve">That is enhancements occurred simultaneously in two energy channel (&gt;30 and &gt;100 keV), which means that it was an injection of energetic electrons</w:t>
      </w:r>
      <w:r>
        <w:rPr>
          <w:sz w:val="20"/>
          <w:szCs w:val="20"/>
          <w:highlight w:val="none"/>
          <w:lang w:val="en-US"/>
        </w:rPr>
        <w:t xml:space="preserve">. </w:t>
      </w:r>
      <w:r>
        <w:rPr>
          <w:sz w:val="20"/>
          <w:szCs w:val="20"/>
          <w:lang w:val="en-US"/>
        </w:rPr>
        <w:t xml:space="preserve">Thus, the fist enhancements of both protons and electrons occurred in the morning sector in the same time interval (within 30 min) and in close proximity in longitude. Since this is a simultaneous </w:t>
      </w:r>
      <w:r>
        <w:rPr>
          <w:sz w:val="20"/>
          <w:szCs w:val="20"/>
          <w:lang w:val="en-US"/>
        </w:rPr>
        <w:t xml:space="preserve">increase in the particle flux with different energies and different signs of particle charge, this event is an injection of protons and electrons from the inner RB.</w:t>
      </w:r>
      <w:r>
        <w:rPr>
          <w:sz w:val="20"/>
          <w:szCs w:val="20"/>
          <w:lang w:val="en-US"/>
        </w:rPr>
        <w:t xml:space="preserve"> </w:t>
      </w:r>
      <w:r>
        <w:rPr>
          <w:sz w:val="20"/>
          <w:szCs w:val="20"/>
          <w:highlight w:val="none"/>
          <w:lang w:val="en-US"/>
        </w:rPr>
      </w:r>
      <w:r>
        <w:rPr>
          <w:sz w:val="20"/>
          <w:szCs w:val="20"/>
          <w:highlight w:val="none"/>
          <w:lang w:val="en-US"/>
        </w:rPr>
      </w:r>
    </w:p>
    <w:p>
      <w:pPr>
        <w:ind w:left="0" w:right="0" w:firstLine="0"/>
        <w:jc w:val="center"/>
        <w:rPr>
          <w:sz w:val="20"/>
          <w:szCs w:val="20"/>
          <w:lang w:val="en-US"/>
        </w:rPr>
      </w:pPr>
      <w:r>
        <w:rPr>
          <w:sz w:val="20"/>
          <w:szCs w:val="20"/>
          <w:lang w:val="en-US"/>
        </w:rPr>
      </w:r>
      <w:r>
        <mc:AlternateContent>
          <mc:Choice Requires="wpg">
            <w:drawing>
              <wp:inline xmlns:wp="http://schemas.openxmlformats.org/drawingml/2006/wordprocessingDrawing" distT="0" distB="0" distL="0" distR="0">
                <wp:extent cx="5940425" cy="2935193"/>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81140" name=""/>
                        <pic:cNvPicPr>
                          <a:picLocks noChangeAspect="1"/>
                        </pic:cNvPicPr>
                        <pic:nvPr/>
                      </pic:nvPicPr>
                      <pic:blipFill>
                        <a:blip r:embed="rId12"/>
                        <a:stretch/>
                      </pic:blipFill>
                      <pic:spPr bwMode="auto">
                        <a:xfrm rot="0" flipH="0" flipV="0">
                          <a:off x="0" y="0"/>
                          <a:ext cx="5940424" cy="29351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75pt;height:231.12pt;mso-wrap-distance-left:0.00pt;mso-wrap-distance-top:0.00pt;mso-wrap-distance-right:0.00pt;mso-wrap-distance-bottom:0.00pt;rotation:0;" stroked="false">
                <v:path textboxrect="0,0,0,0"/>
                <v:imagedata r:id="rId12" o:title=""/>
              </v:shape>
            </w:pict>
          </mc:Fallback>
        </mc:AlternateContent>
      </w:r>
      <w:r>
        <w:rPr>
          <w:sz w:val="20"/>
          <w:szCs w:val="20"/>
          <w:lang w:val="en-US"/>
        </w:rPr>
      </w:r>
      <w:r>
        <w:rPr>
          <w:sz w:val="20"/>
          <w:szCs w:val="20"/>
          <w:lang w:val="en-US"/>
        </w:rPr>
      </w:r>
    </w:p>
    <w:p>
      <w:pPr>
        <w:ind w:left="0" w:right="0" w:firstLine="0"/>
        <w:jc w:val="both"/>
        <w:rPr>
          <w:sz w:val="20"/>
          <w:szCs w:val="20"/>
          <w:lang w:val="en-US"/>
        </w:rPr>
      </w:pPr>
      <w:r>
        <w:rPr>
          <w:b/>
          <w:bCs/>
          <w:sz w:val="20"/>
          <w:szCs w:val="20"/>
          <w:highlight w:val="none"/>
          <w:lang w:val="en-US"/>
        </w:rPr>
        <w:t xml:space="preserve">Figure</w:t>
      </w:r>
      <w:r>
        <w:rPr>
          <w:b/>
          <w:bCs/>
          <w:sz w:val="20"/>
          <w:szCs w:val="20"/>
          <w:lang w:val="en-US"/>
        </w:rPr>
        <w:t xml:space="preserve"> 3</w:t>
      </w:r>
      <w:r>
        <w:rPr>
          <w:b/>
          <w:bCs/>
          <w:sz w:val="20"/>
          <w:szCs w:val="20"/>
          <w:lang w:val="en-US"/>
        </w:rPr>
        <w:t xml:space="preserve">.</w:t>
      </w:r>
      <w:r>
        <w:rPr>
          <w:sz w:val="20"/>
          <w:szCs w:val="20"/>
          <w:lang w:val="en-US"/>
        </w:rPr>
        <w:t xml:space="preserve"> Time profile of protons fluxes </w:t>
      </w:r>
      <w:r>
        <w:rPr>
          <w:sz w:val="20"/>
          <w:szCs w:val="20"/>
          <w:lang w:val="en-US"/>
        </w:rPr>
        <w:t xml:space="preserve">with energies &gt;30 keV</w:t>
      </w:r>
      <w:r>
        <w:rPr>
          <w:sz w:val="20"/>
          <w:szCs w:val="20"/>
          <w:lang w:val="en-US"/>
        </w:rPr>
        <w:t xml:space="preserve"> measured by (left) vertical and (right) horizontal detectors </w:t>
      </w:r>
      <w:r>
        <w:rPr>
          <w:sz w:val="20"/>
          <w:szCs w:val="20"/>
          <w:lang w:val="en-US"/>
        </w:rPr>
        <w:t xml:space="preserve">at the beginning of the main phase during the superstorm on May 10, 2024</w:t>
      </w:r>
      <w:r>
        <w:rPr>
          <w:sz w:val="20"/>
          <w:szCs w:val="20"/>
          <w:lang w:val="en-US"/>
        </w:rPr>
        <w:t xml:space="preserve">. </w:t>
      </w:r>
      <w:r>
        <w:rPr>
          <w:sz w:val="20"/>
          <w:szCs w:val="20"/>
          <w:highlight w:val="none"/>
          <w:lang w:val="en-US"/>
        </w:rPr>
        <w:t xml:space="preserve">The equatorial passages are colored green.</w:t>
      </w:r>
      <w:r>
        <w:rPr>
          <w:sz w:val="20"/>
          <w:szCs w:val="20"/>
          <w:lang w:val="en-US"/>
        </w:rPr>
        <w:t xml:space="preserve"> Equatorial measurements of quasi-trapped or precipitating protons are indicated respectively.</w:t>
      </w:r>
      <w:r>
        <w:rPr>
          <w:sz w:val="20"/>
          <w:szCs w:val="20"/>
          <w:highlight w:val="none"/>
          <w:lang w:val="en-US"/>
        </w:rPr>
        <w:t xml:space="preserve"> The LEO satellites are: P1 – MetOp-1, P3 </w:t>
      </w:r>
      <w:r>
        <w:rPr>
          <w:sz w:val="20"/>
          <w:szCs w:val="20"/>
          <w:highlight w:val="none"/>
          <w:lang w:val="en-US"/>
        </w:rPr>
        <w:t xml:space="preserve">–</w:t>
      </w:r>
      <w:r>
        <w:rPr>
          <w:sz w:val="20"/>
          <w:szCs w:val="20"/>
          <w:highlight w:val="none"/>
          <w:lang w:val="en-US"/>
        </w:rPr>
        <w:t xml:space="preserve"> MetOp-3, P8 </w:t>
      </w:r>
      <w:r>
        <w:rPr>
          <w:sz w:val="20"/>
          <w:szCs w:val="20"/>
          <w:highlight w:val="none"/>
          <w:lang w:val="en-US"/>
        </w:rPr>
        <w:t xml:space="preserve">–</w:t>
      </w:r>
      <w:r>
        <w:rPr>
          <w:sz w:val="20"/>
          <w:szCs w:val="20"/>
          <w:highlight w:val="none"/>
          <w:lang w:val="en-US"/>
        </w:rPr>
        <w:t xml:space="preserve"> NOAA-18.</w:t>
      </w:r>
      <w:r>
        <w:rPr>
          <w:sz w:val="20"/>
          <w:szCs w:val="20"/>
          <w:highlight w:val="none"/>
          <w:lang w:val="en-US"/>
        </w:rPr>
        <w:t xml:space="preserve"> </w:t>
      </w:r>
      <w:r>
        <w:rPr>
          <w:sz w:val="20"/>
          <w:szCs w:val="20"/>
          <w:lang w:val="en-US"/>
        </w:rPr>
      </w:r>
      <w:r>
        <w:rPr>
          <w:sz w:val="20"/>
          <w:szCs w:val="20"/>
          <w:lang w:val="en-US"/>
        </w:rPr>
      </w:r>
    </w:p>
    <w:p>
      <w:pPr>
        <w:ind w:firstLine="284"/>
        <w:jc w:val="both"/>
        <w:rPr>
          <w:sz w:val="20"/>
          <w:szCs w:val="20"/>
          <w:lang w:val="en-US"/>
        </w:rPr>
      </w:pPr>
      <w:r>
        <w:rPr>
          <w:sz w:val="20"/>
          <w:szCs w:val="20"/>
          <w:highlight w:val="none"/>
          <w:lang w:val="en-US"/>
        </w:rPr>
      </w:r>
      <w:r>
        <w:rPr>
          <w:sz w:val="20"/>
          <w:szCs w:val="20"/>
          <w:lang w:val="en-US"/>
        </w:rPr>
      </w:r>
      <w:r>
        <w:rPr>
          <w:sz w:val="20"/>
          <w:szCs w:val="20"/>
          <w:lang w:val="en-US"/>
        </w:rPr>
      </w:r>
    </w:p>
    <w:p>
      <w:pPr>
        <w:jc w:val="both"/>
        <w:rPr>
          <w:b/>
          <w:bCs/>
          <w:sz w:val="24"/>
          <w:szCs w:val="24"/>
        </w:rPr>
      </w:pPr>
      <w:r>
        <w:rPr>
          <w:b/>
          <w:bCs/>
          <w:sz w:val="24"/>
          <w:szCs w:val="24"/>
          <w:lang w:val="en-US"/>
        </w:rPr>
        <w:t xml:space="preserve">Discussion</w:t>
      </w:r>
      <w:r>
        <w:rPr>
          <w:b/>
          <w:bCs/>
          <w:sz w:val="24"/>
          <w:szCs w:val="24"/>
        </w:rPr>
        <w:t xml:space="preserve"> and summary</w:t>
      </w:r>
      <w:r>
        <w:rPr>
          <w:b/>
          <w:bCs/>
          <w:sz w:val="24"/>
          <w:szCs w:val="24"/>
        </w:rPr>
      </w:r>
      <w:r>
        <w:rPr>
          <w:b/>
          <w:bCs/>
          <w:sz w:val="24"/>
          <w:szCs w:val="24"/>
        </w:rPr>
      </w:r>
    </w:p>
    <w:p>
      <w:pPr>
        <w:ind w:firstLine="284"/>
        <w:jc w:val="both"/>
        <w:rPr>
          <w:sz w:val="20"/>
          <w:szCs w:val="20"/>
          <w:lang w:val="en-US"/>
        </w:rPr>
      </w:pPr>
      <w:r>
        <w:rPr>
          <w:sz w:val="20"/>
          <w:szCs w:val="20"/>
          <w:highlight w:val="none"/>
          <w:lang w:val="en-US"/>
        </w:rPr>
      </w:r>
      <w:r>
        <w:rPr>
          <w:sz w:val="20"/>
          <w:szCs w:val="20"/>
          <w:lang w:val="en-US"/>
        </w:rPr>
        <w:t xml:space="preserve">Thus, the current study shows why previous studies have had difficulty obtaining evidence for observation of injected protons </w:t>
      </w:r>
      <w:r>
        <w:rPr>
          <w:sz w:val="20"/>
          <w:szCs w:val="20"/>
          <w:lang w:val="en-US"/>
        </w:rPr>
        <w:t xml:space="preserve">simultaneously </w:t>
      </w:r>
      <w:r>
        <w:rPr>
          <w:sz w:val="20"/>
          <w:szCs w:val="20"/>
          <w:lang w:val="en-US"/>
        </w:rPr>
        <w:t xml:space="preserve">with </w:t>
      </w:r>
      <w:r>
        <w:rPr>
          <w:sz w:val="20"/>
          <w:szCs w:val="20"/>
          <w:lang w:val="en-US"/>
        </w:rPr>
        <w:t xml:space="preserve">electrons (FEE)</w:t>
      </w:r>
      <w:r>
        <w:rPr>
          <w:sz w:val="20"/>
          <w:szCs w:val="20"/>
          <w:lang w:val="en-US"/>
        </w:rPr>
        <w:t xml:space="preserve"> [e.g., 5,7]. First of all, </w:t>
      </w:r>
      <w:r>
        <w:rPr>
          <w:sz w:val="20"/>
          <w:szCs w:val="20"/>
          <w:lang w:val="en-US"/>
        </w:rPr>
        <w:t xml:space="preserve">the flu</w:t>
      </w:r>
      <w:r>
        <w:rPr>
          <w:sz w:val="20"/>
          <w:szCs w:val="20"/>
          <w:lang w:val="en-US"/>
        </w:rPr>
        <w:t xml:space="preserve">xes of protons in the forbidden zone are overlapped with very intense fluxes of protons originated from the ring current, which is quickly developed on the main phase of magnetic storms.</w:t>
      </w:r>
      <w:r>
        <w:rPr>
          <w:sz w:val="20"/>
          <w:szCs w:val="20"/>
          <w:lang w:val="en-US"/>
        </w:rPr>
        <w:t xml:space="preserve"> </w:t>
      </w:r>
      <w:r>
        <w:rPr>
          <w:sz w:val="20"/>
          <w:szCs w:val="20"/>
          <w:highlight w:val="none"/>
          <w:lang w:val="en-US"/>
        </w:rPr>
        <w:t xml:space="preserve">Another important reason for the failure to register &gt;30 keV proton injections is effective losses of </w:t>
      </w:r>
      <w:r>
        <w:rPr>
          <w:sz w:val="20"/>
          <w:szCs w:val="20"/>
          <w:highlight w:val="none"/>
          <w:lang w:val="en-US"/>
        </w:rPr>
        <w:t xml:space="preserve">their energy</w:t>
      </w:r>
      <w:r>
        <w:rPr>
          <w:sz w:val="20"/>
          <w:szCs w:val="20"/>
          <w:highlight w:val="none"/>
          <w:lang w:val="en-US"/>
        </w:rPr>
        <w:t xml:space="preserve"> in interaction with the neutral atmosphere [10].</w:t>
      </w:r>
      <w:r>
        <w:rPr>
          <w:sz w:val="20"/>
          <w:szCs w:val="20"/>
          <w:lang w:val="en-US"/>
        </w:rPr>
        <w:t xml:space="preserve"> </w:t>
      </w:r>
      <w:r>
        <w:rPr>
          <w:sz w:val="20"/>
          <w:szCs w:val="20"/>
          <w:highlight w:val="none"/>
          <w:lang w:val="en-US"/>
        </w:rPr>
      </w:r>
      <w:r>
        <w:rPr>
          <w:sz w:val="20"/>
          <w:szCs w:val="20"/>
          <w:lang w:val="en-US"/>
        </w:rPr>
      </w:r>
    </w:p>
    <w:p>
      <w:pPr>
        <w:ind w:firstLine="284"/>
        <w:jc w:val="both"/>
        <w:rPr>
          <w:sz w:val="20"/>
          <w:szCs w:val="20"/>
          <w:highlight w:val="none"/>
          <w:lang w:val="en-US"/>
        </w:rPr>
      </w:pPr>
      <w:r>
        <w:rPr>
          <w:sz w:val="20"/>
          <w:szCs w:val="20"/>
          <w:lang w:val="en-US"/>
        </w:rPr>
        <w:t xml:space="preserve">The RC protons with energy &gt;30 keV are characterized by high intensities of &gt;10</w:t>
      </w:r>
      <w:r>
        <w:rPr>
          <w:sz w:val="20"/>
          <w:szCs w:val="20"/>
          <w:vertAlign w:val="superscript"/>
          <w:lang w:val="en-US"/>
        </w:rPr>
        <w:t xml:space="preserve">3</w:t>
      </w:r>
      <w:r>
        <w:rPr>
          <w:sz w:val="20"/>
          <w:szCs w:val="20"/>
          <w:lang w:val="en-US"/>
        </w:rPr>
        <w:t xml:space="preserve"> </w:t>
      </w:r>
      <w:r>
        <w:rPr>
          <w:sz w:val="20"/>
          <w:szCs w:val="20"/>
          <w:lang w:val="en-US"/>
        </w:rPr>
        <w:t xml:space="preserve">(cm</w:t>
      </w:r>
      <w:r>
        <w:rPr>
          <w:sz w:val="20"/>
          <w:szCs w:val="20"/>
          <w:vertAlign w:val="superscript"/>
          <w:lang w:val="en-US"/>
        </w:rPr>
        <w:t xml:space="preserve">2</w:t>
      </w:r>
      <w:r>
        <w:rPr>
          <w:sz w:val="20"/>
          <w:szCs w:val="20"/>
          <w:lang w:val="en-US"/>
        </w:rPr>
        <w:t xml:space="preserve"> </w:t>
      </w:r>
      <w:r>
        <w:rPr>
          <w:sz w:val="20"/>
          <w:szCs w:val="20"/>
          <w:lang w:val="en-US"/>
        </w:rPr>
        <w:t xml:space="preserve">s </w:t>
      </w:r>
      <w:r>
        <w:rPr>
          <w:sz w:val="20"/>
          <w:szCs w:val="20"/>
          <w:lang w:val="en-US"/>
        </w:rPr>
        <w:t xml:space="preserve">sr</w:t>
      </w:r>
      <w:r>
        <w:rPr>
          <w:sz w:val="20"/>
          <w:szCs w:val="20"/>
          <w:lang w:val="en-US"/>
        </w:rPr>
        <w:t xml:space="preserve">)</w:t>
      </w:r>
      <w:r>
        <w:rPr>
          <w:sz w:val="20"/>
          <w:szCs w:val="20"/>
          <w:vertAlign w:val="superscript"/>
          <w:lang w:val="en-US"/>
        </w:rPr>
        <w:t xml:space="preserve">-1</w:t>
      </w:r>
      <w:r>
        <w:rPr>
          <w:sz w:val="20"/>
          <w:szCs w:val="20"/>
          <w:lang w:val="en-US"/>
        </w:rPr>
        <w:t xml:space="preserve"> and populate mainly night and evening sectors in the beginning of main phase (Fig. 1 a,c). At that time, the ring current is asymmetric</w:t>
      </w:r>
      <w:r>
        <w:rPr>
          <w:sz w:val="20"/>
          <w:szCs w:val="20"/>
          <w:lang w:val="en-US"/>
        </w:rPr>
        <w:t xml:space="preserve"> [e.g., 10].</w:t>
      </w:r>
      <w:r>
        <w:rPr>
          <w:sz w:val="20"/>
          <w:szCs w:val="20"/>
          <w:lang w:val="en-US"/>
        </w:rPr>
        <w:t xml:space="preserve"> </w:t>
      </w:r>
      <w:r>
        <w:rPr>
          <w:sz w:val="20"/>
          <w:szCs w:val="20"/>
          <w:lang w:val="en-US"/>
        </w:rPr>
        <w:t xml:space="preserve">In Fig. 1 (</w:t>
      </w:r>
      <w:r>
        <w:rPr>
          <w:sz w:val="20"/>
          <w:szCs w:val="20"/>
          <w:lang w:val="en-US"/>
        </w:rPr>
        <w:t xml:space="preserve">a</w:t>
      </w:r>
      <w:r>
        <w:rPr>
          <w:sz w:val="20"/>
          <w:szCs w:val="20"/>
          <w:lang w:val="en-US"/>
        </w:rPr>
        <w:t xml:space="preserve">,c) one can see intense proton fluxes at all latitudes in the longitudinal s</w:t>
      </w:r>
      <w:r>
        <w:rPr>
          <w:sz w:val="20"/>
          <w:szCs w:val="20"/>
          <w:lang w:val="en-US"/>
        </w:rPr>
        <w:t xml:space="preserve">ector from 60</w:t>
      </w:r>
      <w:r>
        <w:rPr>
          <w:sz w:val="20"/>
          <w:szCs w:val="20"/>
          <w:lang w:val="en-US"/>
        </w:rPr>
        <w:t xml:space="preserve">°</w:t>
      </w:r>
      <w:r>
        <w:rPr>
          <w:sz w:val="20"/>
          <w:szCs w:val="20"/>
          <w:lang w:val="en-US"/>
        </w:rPr>
        <w:t xml:space="preserve">W to 60</w:t>
      </w:r>
      <w:r>
        <w:rPr>
          <w:sz w:val="20"/>
          <w:szCs w:val="20"/>
          <w:lang w:val="en-US"/>
        </w:rPr>
        <w:t xml:space="preserve">°</w:t>
      </w:r>
      <w:r>
        <w:rPr>
          <w:sz w:val="20"/>
          <w:szCs w:val="20"/>
          <w:lang w:val="en-US"/>
        </w:rPr>
        <w:t xml:space="preserve">E, which corresponds to evening regions. </w:t>
      </w:r>
      <w:r>
        <w:rPr>
          <w:sz w:val="20"/>
          <w:szCs w:val="20"/>
          <w:lang w:val="en-US"/>
        </w:rPr>
        <w:t xml:space="preserve">At low-to-middle latitudes those protons arrive to low altitudes as energetic neutral atoms after charge exchange interaction in the RC region, which is located at drift shells above </w:t>
      </w:r>
      <w:r>
        <w:rPr>
          <w:i/>
          <w:iCs/>
          <w:sz w:val="20"/>
          <w:szCs w:val="20"/>
          <w:lang w:val="en-US"/>
        </w:rPr>
        <w:t xml:space="preserve">L</w:t>
      </w:r>
      <w:r>
        <w:rPr>
          <w:sz w:val="20"/>
          <w:szCs w:val="20"/>
          <w:lang w:val="en-US"/>
        </w:rPr>
        <w:t xml:space="preserve">=2 [10]. At low altitudes, the energetic neutral atoms loss thei</w:t>
      </w:r>
      <w:r>
        <w:rPr>
          <w:sz w:val="20"/>
          <w:szCs w:val="20"/>
          <w:lang w:val="en-US"/>
        </w:rPr>
        <w:t xml:space="preserve">r electron and become ionized in interaction with the dense atmosphere. The neutral atoms are not guided by the magnetic field and, thus, they propagate in any direction and populate a wide range of latitudes. At middle-to-high latitudes, very intense (&gt;10</w:t>
      </w:r>
      <w:r>
        <w:rPr>
          <w:sz w:val="20"/>
          <w:szCs w:val="20"/>
          <w:vertAlign w:val="superscript"/>
          <w:lang w:val="en-US"/>
        </w:rPr>
        <w:t xml:space="preserve">4</w:t>
      </w:r>
      <w:r>
        <w:rPr>
          <w:sz w:val="20"/>
          <w:szCs w:val="20"/>
          <w:lang w:val="en-US"/>
        </w:rPr>
        <w:t xml:space="preserve"> </w:t>
      </w:r>
      <w:r>
        <w:rPr>
          <w:sz w:val="20"/>
          <w:szCs w:val="20"/>
          <w:lang w:val="en-US"/>
        </w:rPr>
        <w:t xml:space="preserve">(cm</w:t>
      </w:r>
      <w:r>
        <w:rPr>
          <w:sz w:val="20"/>
          <w:szCs w:val="20"/>
          <w:vertAlign w:val="superscript"/>
          <w:lang w:val="en-US"/>
        </w:rPr>
        <w:t xml:space="preserve">2</w:t>
      </w:r>
      <w:r>
        <w:rPr>
          <w:sz w:val="20"/>
          <w:szCs w:val="20"/>
          <w:lang w:val="en-US"/>
        </w:rPr>
        <w:t xml:space="preserve"> </w:t>
      </w:r>
      <w:r>
        <w:rPr>
          <w:sz w:val="20"/>
          <w:szCs w:val="20"/>
          <w:lang w:val="en-US"/>
        </w:rPr>
        <w:t xml:space="preserve">s </w:t>
      </w:r>
      <w:r>
        <w:rPr>
          <w:sz w:val="20"/>
          <w:szCs w:val="20"/>
          <w:lang w:val="en-US"/>
        </w:rPr>
        <w:t xml:space="preserve">sr</w:t>
      </w:r>
      <w:r>
        <w:rPr>
          <w:sz w:val="20"/>
          <w:szCs w:val="20"/>
          <w:lang w:val="en-US"/>
        </w:rPr>
        <w:t xml:space="preserve">)</w:t>
      </w:r>
      <w:r>
        <w:rPr>
          <w:sz w:val="20"/>
          <w:szCs w:val="20"/>
          <w:vertAlign w:val="superscript"/>
          <w:lang w:val="en-US"/>
        </w:rPr>
        <w:t xml:space="preserve">-1</w:t>
      </w:r>
      <w:r>
        <w:rPr>
          <w:sz w:val="20"/>
          <w:szCs w:val="20"/>
          <w:lang w:val="en-US"/>
        </w:rPr>
        <w:t xml:space="preserve">) fluxes are produced by protons precipitating directly from the ring current region. </w:t>
      </w:r>
      <w:r>
        <w:rPr>
          <w:sz w:val="20"/>
          <w:szCs w:val="20"/>
          <w:highlight w:val="none"/>
          <w:lang w:val="en-US"/>
        </w:rPr>
        <w:t xml:space="preserve">At the early stage of the storm (18-20 UT), very intense fluxes of precipitating RC protons </w:t>
      </w:r>
      <w:r>
        <w:rPr>
          <w:sz w:val="20"/>
          <w:szCs w:val="20"/>
          <w:highlight w:val="none"/>
          <w:lang w:val="en-US"/>
        </w:rPr>
        <w:t xml:space="preserve">were observed in a limited range of longitudes, which indicates the asymmetry of the RC in the night-to-evening hours</w:t>
      </w:r>
      <w:r>
        <w:rPr>
          <w:sz w:val="20"/>
          <w:szCs w:val="20"/>
          <w:lang w:val="en-US"/>
        </w:rPr>
        <w:t xml:space="preserve">. With developing the main phase, the ring current becomes symmetric and occupies all local times as shown in Fig</w:t>
      </w:r>
      <w:r>
        <w:rPr>
          <w:sz w:val="20"/>
          <w:szCs w:val="20"/>
          <w:lang w:val="en-US"/>
        </w:rPr>
        <w:t xml:space="preserve">. </w:t>
      </w:r>
      <w:r>
        <w:rPr>
          <w:sz w:val="20"/>
          <w:szCs w:val="20"/>
          <w:lang w:val="en-US"/>
        </w:rPr>
        <w:t xml:space="preserve">1 (b,d).</w:t>
      </w:r>
      <w:r>
        <w:rPr>
          <w:sz w:val="20"/>
          <w:szCs w:val="20"/>
          <w:highlight w:val="none"/>
          <w:lang w:val="en-US"/>
        </w:rPr>
      </w:r>
      <w:r>
        <w:rPr>
          <w:sz w:val="20"/>
          <w:szCs w:val="20"/>
          <w:highlight w:val="none"/>
          <w:lang w:val="en-US"/>
        </w:rPr>
      </w:r>
    </w:p>
    <w:p>
      <w:pPr>
        <w:ind w:firstLine="284"/>
        <w:jc w:val="both"/>
        <w:rPr>
          <w:sz w:val="20"/>
          <w:szCs w:val="20"/>
          <w:highlight w:val="none"/>
          <w:lang w:val="en-US"/>
        </w:rPr>
      </w:pPr>
      <w:r>
        <w:rPr>
          <w:sz w:val="20"/>
          <w:szCs w:val="20"/>
          <w:lang w:val="en-US"/>
        </w:rPr>
      </w:r>
      <w:r>
        <w:rPr>
          <w:sz w:val="20"/>
          <w:szCs w:val="20"/>
          <w:lang w:val="en-US"/>
        </w:rPr>
        <w:t xml:space="preserve">We show that </w:t>
      </w:r>
      <w:r>
        <w:rPr>
          <w:sz w:val="20"/>
          <w:szCs w:val="20"/>
          <w:lang w:val="en-US"/>
        </w:rPr>
        <w:t xml:space="preserve">the observed proton flux enhancements</w:t>
      </w:r>
      <w:r>
        <w:rPr>
          <w:sz w:val="20"/>
          <w:szCs w:val="20"/>
          <w:lang w:val="en-US"/>
        </w:rPr>
        <w:t xml:space="preserve"> h</w:t>
      </w:r>
      <w:r>
        <w:rPr>
          <w:sz w:val="20"/>
          <w:szCs w:val="20"/>
          <w:lang w:val="en-US"/>
        </w:rPr>
        <w:t xml:space="preserve">ave different pitch-angle characteristics, indicating a local injection of protons from the inner RB in the pre-noon sector early in the</w:t>
      </w:r>
      <w:r>
        <w:rPr>
          <w:sz w:val="20"/>
          <w:szCs w:val="20"/>
          <w:lang w:val="en-US"/>
        </w:rPr>
        <w:t xml:space="preserve"> storm main phase. We find that the injected quasi-trapped protons can be distinguished from the RC protons by their lower intensity and lack of enhancements of precipitating protons. This situation exists for a short time until RC becomes more symmetrical</w:t>
      </w:r>
      <w:r>
        <w:rPr>
          <w:sz w:val="20"/>
          <w:szCs w:val="20"/>
          <w:highlight w:val="none"/>
          <w:lang w:val="en-US"/>
        </w:rPr>
        <w:t xml:space="preserve">.</w:t>
      </w:r>
      <w:r>
        <w:rPr>
          <w:sz w:val="20"/>
          <w:szCs w:val="20"/>
          <w:highlight w:val="none"/>
          <w:lang w:val="en-US"/>
        </w:rPr>
      </w:r>
      <w:r>
        <w:rPr>
          <w:sz w:val="20"/>
          <w:szCs w:val="20"/>
          <w:highlight w:val="none"/>
          <w:lang w:val="en-US"/>
        </w:rPr>
      </w:r>
    </w:p>
    <w:p>
      <w:pPr>
        <w:ind w:firstLine="284"/>
        <w:jc w:val="both"/>
        <w:rPr>
          <w:sz w:val="20"/>
          <w:szCs w:val="20"/>
          <w:highlight w:val="none"/>
          <w:lang w:val="en-US"/>
        </w:rPr>
      </w:pPr>
      <w:r>
        <w:rPr>
          <w:sz w:val="20"/>
          <w:szCs w:val="20"/>
          <w:lang w:val="en-US"/>
        </w:rPr>
        <w:t xml:space="preserve">As one can see in Table 1, the FEE enhancements were observed simultaneously with the proton enhancements. It should be noted that being injected to low la</w:t>
      </w:r>
      <w:r>
        <w:rPr>
          <w:sz w:val="20"/>
          <w:szCs w:val="20"/>
          <w:lang w:val="en-US"/>
        </w:rPr>
        <w:t xml:space="preserve">titudes, </w:t>
      </w:r>
      <w:r>
        <w:rPr>
          <w:sz w:val="20"/>
          <w:szCs w:val="20"/>
          <w:lang w:val="en-US"/>
        </w:rPr>
        <w:t xml:space="preserve">electrons and protons drift in geomagnetic field in opposite directions – eastward and westward, respectively (Fig. 4). Hence, the injection region should be located somewhere eastward from the proton injection and westward from the electron injection. Fro</w:t>
      </w:r>
      <w:r>
        <w:rPr>
          <w:sz w:val="20"/>
          <w:szCs w:val="20"/>
          <w:lang w:val="en-US"/>
        </w:rPr>
        <w:t xml:space="preserve">m comparison of Figs. 1 and 2 we can conclude that the injection region should have a spatial extension and it is located in the longitudinal sector from 120</w:t>
      </w:r>
      <w:r>
        <w:rPr>
          <w:sz w:val="20"/>
          <w:szCs w:val="20"/>
          <w:lang w:val="en-US"/>
        </w:rPr>
        <w:t xml:space="preserve">°</w:t>
      </w:r>
      <w:r>
        <w:rPr>
          <w:sz w:val="20"/>
          <w:szCs w:val="20"/>
          <w:lang w:val="en-US"/>
        </w:rPr>
        <w:t xml:space="preserve">E to 140</w:t>
      </w:r>
      <w:r>
        <w:rPr>
          <w:sz w:val="20"/>
          <w:szCs w:val="20"/>
          <w:lang w:val="en-US"/>
        </w:rPr>
        <w:t xml:space="preserve">°</w:t>
      </w:r>
      <w:r>
        <w:rPr>
          <w:sz w:val="20"/>
          <w:szCs w:val="20"/>
          <w:lang w:val="en-US"/>
        </w:rPr>
        <w:t xml:space="preserve">W. At 19 UT this sector corresponds to morning – prenoon local time. Moreover, the injection </w:t>
      </w:r>
      <w:r>
        <w:rPr>
          <w:sz w:val="20"/>
          <w:szCs w:val="20"/>
          <w:lang w:val="en-US"/>
        </w:rPr>
        <w:t xml:space="preserve">process </w:t>
      </w:r>
      <w:r>
        <w:rPr>
          <w:sz w:val="20"/>
          <w:szCs w:val="20"/>
          <w:lang w:val="en-US"/>
        </w:rPr>
        <w:t xml:space="preserve">should have a duration of the order of 20 min [4,6]. </w:t>
      </w:r>
      <w:r>
        <w:rPr>
          <w:sz w:val="20"/>
          <w:szCs w:val="20"/>
          <w:highlight w:val="none"/>
          <w:lang w:val="en-US"/>
        </w:rPr>
      </w:r>
      <w:r>
        <w:rPr>
          <w:sz w:val="20"/>
          <w:szCs w:val="20"/>
          <w:highlight w:val="none"/>
          <w:lang w:val="en-US"/>
        </w:rPr>
      </w:r>
    </w:p>
    <w:p>
      <w:pPr>
        <w:ind w:left="0" w:right="0" w:firstLine="283"/>
        <w:jc w:val="both"/>
        <w:rPr>
          <w:sz w:val="20"/>
          <w:szCs w:val="20"/>
          <w:lang w:val="en-US"/>
        </w:rPr>
      </w:pPr>
      <w:r>
        <w:rPr>
          <w:sz w:val="20"/>
          <w:szCs w:val="20"/>
          <w:highlight w:val="none"/>
          <w:lang w:val="en-US"/>
        </w:rPr>
      </w:r>
      <w:r>
        <mc:AlternateContent>
          <mc:Choice Requires="wpg">
            <w:drawing>
              <wp:anchor xmlns:wp="http://schemas.openxmlformats.org/drawingml/2006/wordprocessingDrawing" xmlns:wp14="http://schemas.microsoft.com/office/word/2010/wordprocessingDrawing" distT="0" distB="0" distL="115200" distR="115200" simplePos="0" relativeHeight="6144" behindDoc="0" locked="0" layoutInCell="1" allowOverlap="1">
                <wp:simplePos x="0" y="0"/>
                <wp:positionH relativeFrom="column">
                  <wp:posOffset>0</wp:posOffset>
                </wp:positionH>
                <wp:positionV relativeFrom="paragraph">
                  <wp:posOffset>0</wp:posOffset>
                </wp:positionV>
                <wp:extent cx="2540061" cy="1603438"/>
                <wp:effectExtent l="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52986" name=""/>
                        <pic:cNvPicPr>
                          <a:picLocks noChangeAspect="1"/>
                        </pic:cNvPicPr>
                        <pic:nvPr/>
                      </pic:nvPicPr>
                      <pic:blipFill>
                        <a:blip r:embed="rId13"/>
                        <a:stretch/>
                      </pic:blipFill>
                      <pic:spPr bwMode="auto">
                        <a:xfrm flipH="0" flipV="0">
                          <a:off x="0" y="0"/>
                          <a:ext cx="2540061" cy="1603437"/>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6144;o:allowoverlap:true;o:allowincell:true;mso-position-horizontal-relative:text;margin-left:0.00pt;mso-position-horizontal:absolute;mso-position-vertical-relative:text;margin-top:0.00pt;mso-position-vertical:absolute;width:200.00pt;height:126.25pt;mso-wrap-distance-left:9.07pt;mso-wrap-distance-top:0.00pt;mso-wrap-distance-right:9.07pt;mso-wrap-distance-bottom:0.00pt;" stroked="false">
                <v:path textboxrect="0,0,0,0"/>
                <w10:wrap type="square"/>
                <v:imagedata r:id="rId13" o:title=""/>
              </v:shape>
            </w:pict>
          </mc:Fallback>
        </mc:AlternateContent>
      </w:r>
      <w:r>
        <w:rPr>
          <w:sz w:val="20"/>
          <w:szCs w:val="20"/>
          <w:lang w:val="en-US"/>
        </w:rPr>
        <w:t xml:space="preserve">During the injection, protons continue drifting westward along the drift shells, which elevate to higher alt</w:t>
      </w:r>
      <w:r>
        <w:rPr>
          <w:sz w:val="20"/>
          <w:szCs w:val="20"/>
          <w:lang w:val="en-US"/>
        </w:rPr>
        <w:t xml:space="preserve">itudes with decreasing longitude due to the asymmetry of the geomagnetic field. Hence, protons moving to higher altitudes become invisible for the satellite. In contrast, electrons drifting eastward move to lower altitudes and the satellite observes intens</w:t>
      </w:r>
      <w:r>
        <w:rPr>
          <w:sz w:val="20"/>
          <w:szCs w:val="20"/>
          <w:lang w:val="en-US"/>
        </w:rPr>
        <w:t xml:space="preserve">e</w:t>
      </w:r>
      <w:r>
        <w:rPr>
          <w:sz w:val="20"/>
          <w:szCs w:val="20"/>
          <w:lang w:val="en-US"/>
        </w:rPr>
        <w:t xml:space="preserve"> electron fluxes coming from higher L-shells with increasing longitude until the SAA region. This complex dynamic results in complicated pattern presented in Figs. 1 and 2. Therefore, we have shown that the injection of protons and electrons in the forbidd</w:t>
      </w:r>
      <w:r>
        <w:rPr>
          <w:sz w:val="20"/>
          <w:szCs w:val="20"/>
          <w:lang w:val="en-US"/>
        </w:rPr>
        <w:t xml:space="preserve">en zone occurred above Pacific in the morning hours and </w:t>
      </w:r>
      <w:r>
        <w:rPr>
          <w:sz w:val="20"/>
          <w:szCs w:val="20"/>
          <w:lang w:val="en-US"/>
        </w:rPr>
      </w:r>
      <w:r>
        <w:rPr>
          <w:sz w:val="20"/>
          <w:szCs w:val="20"/>
          <w:lang w:val="en-US"/>
        </w:rPr>
      </w:r>
    </w:p>
    <w:tbl>
      <w:tblPr>
        <w:tblStyle w:val="692"/>
        <w:tblW w:w="0" w:type="auto"/>
        <w:tblLayout w:type="fixed"/>
        <w:tblLook w:val="04A0" w:firstRow="1" w:lastRow="0" w:firstColumn="1" w:lastColumn="0" w:noHBand="0" w:noVBand="1"/>
      </w:tblPr>
      <w:tblGrid>
        <w:gridCol w:w="4218"/>
        <w:gridCol w:w="5386"/>
      </w:tblGrid>
      <w:tr>
        <w:tblPrEx/>
        <w:trPr/>
        <w:tc>
          <w:tcPr>
            <w:tcBorders>
              <w:top w:val="none" w:color="000000" w:sz="4" w:space="0"/>
              <w:left w:val="none" w:color="000000" w:sz="4" w:space="0"/>
              <w:bottom w:val="none" w:color="000000" w:sz="4" w:space="0"/>
              <w:right w:val="none" w:color="000000" w:sz="4" w:space="0"/>
            </w:tcBorders>
            <w:tcW w:w="4218" w:type="dxa"/>
            <w:textDirection w:val="lrTb"/>
            <w:noWrap w:val="false"/>
          </w:tcPr>
          <w:p>
            <w:pPr>
              <w:jc w:val="both"/>
              <w:rPr>
                <w:b/>
                <w:bCs/>
                <w:sz w:val="20"/>
                <w:szCs w:val="20"/>
                <w:lang w:val="en-US"/>
              </w:rPr>
            </w:pPr>
            <w:r>
              <w:rPr>
                <w:b/>
                <w:bCs/>
                <w:sz w:val="20"/>
                <w:szCs w:val="20"/>
                <w:lang w:val="en-US"/>
              </w:rPr>
            </w:r>
            <w:r>
              <w:rPr>
                <w:b/>
                <w:bCs/>
                <w:sz w:val="20"/>
                <w:szCs w:val="20"/>
                <w:lang w:val="en-US"/>
              </w:rPr>
              <w:t xml:space="preserve">Figure 4.</w:t>
            </w:r>
            <w:r>
              <w:rPr>
                <w:b w:val="0"/>
                <w:bCs w:val="0"/>
                <w:sz w:val="20"/>
                <w:szCs w:val="20"/>
                <w:lang w:val="en-US"/>
              </w:rPr>
              <w:t xml:space="preserve"> </w:t>
            </w:r>
            <w:r>
              <w:rPr>
                <w:sz w:val="20"/>
                <w:szCs w:val="20"/>
                <w:lang w:val="en-US"/>
              </w:rPr>
              <w:t xml:space="preserve">Schematic</w:t>
            </w:r>
            <w:r>
              <w:rPr>
                <w:sz w:val="20"/>
                <w:szCs w:val="20"/>
                <w:highlight w:val="none"/>
                <w:lang w:val="en-US"/>
              </w:rPr>
              <w:t xml:space="preserve"> illustrating the physical mechanisms of electric drift (a radial transport of particles from the inner RB) and opposite azimuthal drift of energetic electrons and protons.</w:t>
            </w:r>
            <w:r>
              <w:rPr>
                <w:b/>
                <w:bCs/>
                <w:sz w:val="20"/>
                <w:szCs w:val="20"/>
                <w:lang w:val="en-US"/>
              </w:rPr>
            </w:r>
            <w:r>
              <w:rPr>
                <w:b/>
                <w:bCs/>
                <w:sz w:val="20"/>
                <w:szCs w:val="20"/>
                <w:lang w:val="en-US"/>
              </w:rPr>
            </w:r>
          </w:p>
        </w:tc>
        <w:tc>
          <w:tcPr>
            <w:tcBorders>
              <w:top w:val="none" w:color="000000" w:sz="4" w:space="0"/>
              <w:left w:val="none" w:color="000000" w:sz="4" w:space="0"/>
              <w:bottom w:val="none" w:color="000000" w:sz="4" w:space="0"/>
              <w:right w:val="none" w:color="000000" w:sz="4" w:space="0"/>
            </w:tcBorders>
            <w:tcW w:w="5386" w:type="dxa"/>
            <w:textDirection w:val="lrTb"/>
            <w:noWrap w:val="false"/>
          </w:tcPr>
          <w:p>
            <w:pPr>
              <w:jc w:val="both"/>
              <w:rPr>
                <w:b/>
                <w:bCs/>
                <w:sz w:val="20"/>
                <w:szCs w:val="20"/>
                <w:lang w:val="en-US"/>
              </w:rPr>
            </w:pPr>
            <w:r>
              <w:rPr>
                <w:b/>
                <w:bCs/>
                <w:sz w:val="20"/>
                <w:szCs w:val="20"/>
                <w:lang w:val="en-US"/>
              </w:rPr>
            </w:r>
            <w:r>
              <w:rPr>
                <w:sz w:val="20"/>
                <w:szCs w:val="20"/>
                <w:lang w:val="en-US"/>
              </w:rPr>
              <w:t xml:space="preserve">had the spatial scale of ~100° and temporal scale of ~20 min. This pattern supports the mechanism of radial transport of energetic particles from the inner radiation belt down to low altitudes due to </w:t>
            </w:r>
            <w:r>
              <w:rPr>
                <w:i w:val="0"/>
                <w:iCs w:val="0"/>
                <w:sz w:val="20"/>
                <w:szCs w:val="20"/>
                <w:lang w:val="en-US"/>
              </w:rPr>
              <w:t xml:space="preserve">E</w:t>
            </w:r>
            <w:r>
              <w:rPr>
                <w:rFonts w:hint="default" w:ascii="Abyssinica SIL" w:hAnsi="Abyssinica SIL" w:eastAsia="Abyssinica SIL" w:cs="Abyssinica SIL"/>
                <w:i w:val="0"/>
                <w:iCs w:val="0"/>
                <w:sz w:val="20"/>
                <w:szCs w:val="20"/>
                <w:lang w:val="en-US"/>
              </w:rPr>
              <w:t xml:space="preserve">✕</w:t>
            </w:r>
            <w:r>
              <w:rPr>
                <w:i w:val="0"/>
                <w:iCs w:val="0"/>
                <w:sz w:val="20"/>
                <w:szCs w:val="20"/>
                <w:lang w:val="en-US"/>
              </w:rPr>
              <w:t xml:space="preserve">B</w:t>
            </w:r>
            <w:r>
              <w:rPr>
                <w:sz w:val="20"/>
                <w:szCs w:val="20"/>
                <w:lang w:val="en-US"/>
              </w:rPr>
              <w:t xml:space="preserve"> or electric drift.</w:t>
            </w:r>
            <w:r>
              <w:rPr>
                <w:b/>
                <w:bCs/>
                <w:sz w:val="20"/>
                <w:szCs w:val="20"/>
                <w:lang w:val="en-US"/>
              </w:rPr>
            </w:r>
            <w:r>
              <w:rPr>
                <w:b/>
                <w:bCs/>
                <w:sz w:val="20"/>
                <w:szCs w:val="20"/>
                <w:lang w:val="en-US"/>
              </w:rPr>
            </w:r>
          </w:p>
        </w:tc>
      </w:tr>
    </w:tbl>
    <w:p>
      <w:pPr>
        <w:ind w:firstLine="284"/>
        <w:jc w:val="both"/>
        <w:spacing w:before="85" w:beforeAutospacing="0"/>
        <w:rPr>
          <w:sz w:val="20"/>
          <w:szCs w:val="20"/>
          <w:lang w:val="en-US"/>
        </w:rPr>
      </w:pPr>
      <w:r>
        <w:rPr>
          <w:sz w:val="20"/>
          <w:szCs w:val="20"/>
          <w:lang w:val="en-US"/>
        </w:rPr>
        <w:t xml:space="preserve">The origin of electric field in the inner magnetosphere at very low drift shells of L~1.2 is still unknown. In the studies [4,6] a possible external driver o</w:t>
      </w:r>
      <w:r>
        <w:rPr>
          <w:sz w:val="20"/>
          <w:szCs w:val="20"/>
          <w:lang w:val="en-US"/>
        </w:rPr>
        <w:t xml:space="preserve">f the electric field for this FEE event was analyzed. It was shown that the magnetosphere was affected by a sharp negative jump of the solar wind pressure observed by Wind at ~18:45 UT. </w:t>
      </w:r>
      <w:r>
        <w:rPr>
          <w:sz w:val="20"/>
          <w:szCs w:val="20"/>
          <w:lang w:val="en-US"/>
        </w:rPr>
        <w:t xml:space="preserve">The pressure negative jump resulted in a decrease in SYM-H index at ~18:57 UT and a dayside expansion of the magnetosphere. </w:t>
      </w:r>
      <w:r>
        <w:rPr>
          <w:sz w:val="20"/>
          <w:szCs w:val="20"/>
          <w:lang w:val="en-US"/>
        </w:rPr>
        <w:t xml:space="preserve">It is important to note that during that time, the IMF </w:t>
      </w:r>
      <w:r>
        <w:rPr>
          <w:sz w:val="20"/>
          <w:szCs w:val="20"/>
          <w:lang w:val="en-US"/>
        </w:rPr>
        <w:t xml:space="preserve">Bz</w:t>
      </w:r>
      <w:r>
        <w:rPr>
          <w:sz w:val="20"/>
          <w:szCs w:val="20"/>
          <w:lang w:val="en-US"/>
        </w:rPr>
        <w:t xml:space="preserve"> was positive. It meant that we can exclude magneto-plasma effects originated from interaction of IMF with the geomagnetic field. </w:t>
      </w:r>
      <w:r>
        <w:rPr>
          <w:sz w:val="20"/>
          <w:szCs w:val="20"/>
          <w:lang w:val="en-US"/>
        </w:rPr>
        <w:t xml:space="preserve">A solar wind pressure pulse results in generation of global inductive electric field in the Earth magnetosphere [</w:t>
      </w:r>
      <w:r>
        <w:rPr>
          <w:sz w:val="20"/>
          <w:szCs w:val="20"/>
          <w:lang w:val="en-US"/>
        </w:rPr>
        <w:t xml:space="preserve">8</w:t>
      </w:r>
      <w:r>
        <w:rPr>
          <w:sz w:val="20"/>
          <w:szCs w:val="20"/>
          <w:lang w:val="en-US"/>
        </w:rPr>
        <w:t xml:space="preserve">]. </w:t>
      </w:r>
      <w:r>
        <w:rPr>
          <w:sz w:val="20"/>
          <w:szCs w:val="20"/>
          <w:lang w:val="en-US"/>
        </w:rPr>
        <w:t xml:space="preserve">The magnetosphere expansion </w:t>
      </w:r>
      <w:r>
        <w:rPr>
          <w:sz w:val="20"/>
          <w:szCs w:val="20"/>
          <w:lang w:val="en-US"/>
        </w:rPr>
        <w:t xml:space="preserve">should </w:t>
      </w:r>
      <w:r>
        <w:rPr>
          <w:sz w:val="20"/>
          <w:szCs w:val="20"/>
          <w:lang w:val="en-US"/>
        </w:rPr>
        <w:t xml:space="preserve">result in generation of induced electric field</w:t>
      </w:r>
      <w:r>
        <w:rPr>
          <w:sz w:val="20"/>
          <w:szCs w:val="20"/>
          <w:lang w:val="en-US"/>
        </w:rPr>
        <w:t xml:space="preserve">, which is pointed westward in according to Faraday</w:t>
      </w:r>
      <w:r>
        <w:rPr>
          <w:sz w:val="20"/>
          <w:szCs w:val="20"/>
          <w:lang w:val="en-US"/>
        </w:rPr>
        <w:t xml:space="preserve">’s</w:t>
      </w:r>
      <w:r>
        <w:rPr>
          <w:sz w:val="20"/>
          <w:szCs w:val="20"/>
          <w:lang w:val="en-US"/>
        </w:rPr>
        <w:t xml:space="preserve"> l</w:t>
      </w:r>
      <w:r>
        <w:rPr>
          <w:sz w:val="20"/>
          <w:szCs w:val="20"/>
          <w:lang w:val="en-US"/>
        </w:rPr>
        <w:t xml:space="preserve">a</w:t>
      </w:r>
      <w:r>
        <w:rPr>
          <w:sz w:val="20"/>
          <w:szCs w:val="20"/>
          <w:lang w:val="en-US"/>
        </w:rPr>
        <w:t xml:space="preserve">w.</w:t>
      </w:r>
      <w:r>
        <w:rPr>
          <w:sz w:val="20"/>
          <w:szCs w:val="20"/>
          <w:lang w:val="en-US"/>
        </w:rPr>
        <w:t xml:space="preserve"> At low latitudes, </w:t>
      </w:r>
      <w:r>
        <w:rPr>
          <w:sz w:val="20"/>
          <w:szCs w:val="20"/>
          <w:lang w:val="en-US"/>
        </w:rPr>
        <w:t xml:space="preserve">where the geomagnetic field is pointed northward, </w:t>
      </w:r>
      <w:r>
        <w:rPr>
          <w:sz w:val="20"/>
          <w:szCs w:val="20"/>
          <w:lang w:val="en-US"/>
        </w:rPr>
        <w:t xml:space="preserve">this electric field causes radial </w:t>
      </w:r>
      <w:r>
        <w:rPr>
          <w:i w:val="0"/>
          <w:iCs w:val="0"/>
          <w:sz w:val="20"/>
          <w:szCs w:val="20"/>
          <w:lang w:val="en-US"/>
        </w:rPr>
        <w:t xml:space="preserve">E</w:t>
      </w:r>
      <w:r>
        <w:rPr>
          <w:rFonts w:hint="default" w:ascii="Abyssinica SIL" w:hAnsi="Abyssinica SIL" w:eastAsia="Abyssinica SIL" w:cs="Abyssinica SIL"/>
          <w:i w:val="0"/>
          <w:iCs w:val="0"/>
          <w:sz w:val="16"/>
          <w:szCs w:val="16"/>
          <w:lang w:val="en-US"/>
        </w:rPr>
        <w:t xml:space="preserve">✕</w:t>
      </w:r>
      <w:r>
        <w:rPr>
          <w:i w:val="0"/>
          <w:iCs w:val="0"/>
          <w:sz w:val="20"/>
          <w:szCs w:val="20"/>
          <w:lang w:val="en-US"/>
        </w:rPr>
        <w:t xml:space="preserve">B</w:t>
      </w:r>
      <w:r>
        <w:rPr>
          <w:sz w:val="20"/>
          <w:szCs w:val="20"/>
          <w:lang w:val="en-US"/>
        </w:rPr>
        <w:t xml:space="preserve"> drift of charged particles toward the Earth. </w:t>
      </w:r>
      <w:r>
        <w:rPr>
          <w:sz w:val="20"/>
          <w:szCs w:val="20"/>
          <w:lang w:val="en-US"/>
        </w:rPr>
        <w:t xml:space="preserve">The electrons and protons transport </w:t>
      </w:r>
      <w:r>
        <w:rPr>
          <w:sz w:val="20"/>
          <w:szCs w:val="20"/>
          <w:lang w:val="en-US"/>
        </w:rPr>
        <w:t xml:space="preserve">in the </w:t>
      </w:r>
      <w:r>
        <w:rPr>
          <w:i w:val="0"/>
          <w:iCs w:val="0"/>
          <w:sz w:val="20"/>
          <w:szCs w:val="20"/>
          <w:lang w:val="en-US"/>
        </w:rPr>
        <w:t xml:space="preserve">E</w:t>
      </w:r>
      <w:r>
        <w:rPr>
          <w:rFonts w:hint="default" w:ascii="Abyssinica SIL" w:hAnsi="Abyssinica SIL" w:eastAsia="Abyssinica SIL" w:cs="Abyssinica SIL"/>
          <w:i w:val="0"/>
          <w:iCs w:val="0"/>
          <w:sz w:val="16"/>
          <w:szCs w:val="16"/>
          <w:lang w:val="en-US"/>
        </w:rPr>
        <w:t xml:space="preserve">✕</w:t>
      </w:r>
      <w:r>
        <w:rPr>
          <w:i w:val="0"/>
          <w:iCs w:val="0"/>
          <w:sz w:val="20"/>
          <w:szCs w:val="20"/>
          <w:lang w:val="en-US"/>
        </w:rPr>
        <w:t xml:space="preserve">B</w:t>
      </w:r>
      <w:r>
        <w:rPr>
          <w:sz w:val="20"/>
          <w:szCs w:val="20"/>
          <w:lang w:val="en-US"/>
        </w:rPr>
        <w:t xml:space="preserve"> fields </w:t>
      </w:r>
      <w:r>
        <w:rPr>
          <w:sz w:val="20"/>
          <w:szCs w:val="20"/>
          <w:lang w:val="en-US"/>
        </w:rPr>
        <w:t xml:space="preserve">with the same rate. During the transport, they shift in opposite horizontal directions due to azimuthal drift: electrons – eastward and protons – westward. </w:t>
      </w:r>
      <w:r>
        <w:rPr>
          <w:sz w:val="20"/>
          <w:szCs w:val="20"/>
          <w:lang w:val="en-US"/>
        </w:rPr>
        <w:t xml:space="preserve">The divergence between electrons and protons depends on the rate of radial transport, which directly depends on the strength of inductive electric field. It was estimated</w:t>
      </w:r>
      <w:r>
        <w:rPr>
          <w:sz w:val="20"/>
          <w:szCs w:val="20"/>
          <w:lang w:val="en-US"/>
        </w:rPr>
        <w:t xml:space="preserve"> that</w:t>
      </w:r>
      <w:r>
        <w:rPr>
          <w:sz w:val="20"/>
          <w:szCs w:val="20"/>
          <w:lang w:val="en-US"/>
        </w:rPr>
        <w:t xml:space="preserve"> </w:t>
      </w:r>
      <w:r>
        <w:rPr>
          <w:sz w:val="20"/>
          <w:szCs w:val="20"/>
          <w:lang w:val="en-US"/>
        </w:rPr>
        <w:t xml:space="preserve">the electric field of 10 mV/m provides the transport from the lower edge of inner ERB (L=1.1</w:t>
      </w:r>
      <w:r>
        <w:rPr>
          <w:sz w:val="20"/>
          <w:szCs w:val="20"/>
          <w:lang w:val="en-US"/>
        </w:rPr>
        <w:t xml:space="preserve">5</w:t>
      </w:r>
      <w:r>
        <w:rPr>
          <w:sz w:val="20"/>
          <w:szCs w:val="20"/>
          <w:lang w:val="en-US"/>
        </w:rPr>
        <w:t xml:space="preserve">) to L=1.1 within a reasonable t</w:t>
      </w:r>
      <w:r>
        <w:rPr>
          <w:sz w:val="20"/>
          <w:szCs w:val="20"/>
          <w:lang w:val="en-US"/>
        </w:rPr>
        <w:t xml:space="preserve">i</w:t>
      </w:r>
      <w:r>
        <w:rPr>
          <w:sz w:val="20"/>
          <w:szCs w:val="20"/>
          <w:lang w:val="en-US"/>
        </w:rPr>
        <w:t xml:space="preserve">me of ~20 </w:t>
      </w:r>
      <w:r>
        <w:rPr>
          <w:rFonts w:eastAsia="PMingLiU"/>
          <w:sz w:val="20"/>
          <w:szCs w:val="20"/>
          <w:lang w:val="en-US" w:eastAsia="zh-TW"/>
        </w:rPr>
        <w:t xml:space="preserve">min</w:t>
      </w:r>
      <w:r>
        <w:rPr>
          <w:sz w:val="20"/>
          <w:szCs w:val="20"/>
          <w:lang w:val="en-US"/>
        </w:rPr>
        <w:t xml:space="preserve"> </w:t>
      </w:r>
      <w:r>
        <w:rPr>
          <w:sz w:val="20"/>
          <w:szCs w:val="20"/>
          <w:lang w:val="en-US"/>
        </w:rPr>
        <w:t xml:space="preserve">[</w:t>
      </w:r>
      <w:bookmarkStart w:id="0" w:name="undefined"/>
      <w:r>
        <w:rPr>
          <w:sz w:val="20"/>
          <w:szCs w:val="20"/>
          <w:lang w:val="en-US"/>
        </w:rPr>
        <w:t xml:space="preserve">4,6</w:t>
      </w:r>
      <w:bookmarkEnd w:id="0"/>
      <w:r>
        <w:rPr>
          <w:sz w:val="20"/>
          <w:szCs w:val="20"/>
          <w:lang w:val="en-US"/>
        </w:rPr>
        <w:t xml:space="preserve">]</w:t>
      </w:r>
      <w:r>
        <w:rPr>
          <w:sz w:val="20"/>
          <w:szCs w:val="20"/>
          <w:lang w:val="en-US"/>
        </w:rPr>
        <w:t xml:space="preserve">. Hence </w:t>
      </w:r>
      <w:r>
        <w:rPr>
          <w:sz w:val="20"/>
          <w:szCs w:val="20"/>
          <w:lang w:val="en-US"/>
        </w:rPr>
        <w:t xml:space="preserve">th</w:t>
      </w:r>
      <w:r>
        <w:rPr>
          <w:sz w:val="20"/>
          <w:szCs w:val="20"/>
          <w:lang w:val="en-US"/>
        </w:rPr>
        <w:t xml:space="preserve">e</w:t>
      </w:r>
      <w:r>
        <w:rPr>
          <w:sz w:val="20"/>
          <w:szCs w:val="20"/>
          <w:lang w:val="en-US"/>
        </w:rPr>
        <w:t xml:space="preserve"> mechanism </w:t>
      </w:r>
      <w:r>
        <w:rPr>
          <w:sz w:val="20"/>
          <w:szCs w:val="20"/>
          <w:lang w:val="en-US"/>
        </w:rPr>
        <w:t xml:space="preserve">proposed </w:t>
      </w:r>
      <w:r>
        <w:rPr>
          <w:sz w:val="20"/>
          <w:szCs w:val="20"/>
          <w:lang w:val="en-US"/>
        </w:rPr>
        <w:t xml:space="preserve">can explain the dynamics of electron and proton enhancements in the forbidden zone. </w:t>
      </w:r>
      <w:r>
        <w:rPr>
          <w:sz w:val="20"/>
          <w:szCs w:val="20"/>
          <w:lang w:val="en-US"/>
        </w:rPr>
      </w:r>
      <w:r>
        <w:rPr>
          <w:sz w:val="20"/>
          <w:szCs w:val="20"/>
          <w:lang w:val="en-US"/>
        </w:rPr>
      </w:r>
    </w:p>
    <w:p>
      <w:pPr>
        <w:ind w:left="567" w:right="0" w:firstLine="0"/>
        <w:jc w:val="both"/>
        <w:spacing w:before="85" w:beforeAutospacing="0"/>
        <w:rPr>
          <w:sz w:val="16"/>
          <w:szCs w:val="16"/>
        </w:rPr>
      </w:pPr>
      <w:r>
        <w:rPr>
          <w:b/>
          <w:bCs/>
          <w:sz w:val="16"/>
          <w:szCs w:val="16"/>
          <w:lang w:val="en-US"/>
        </w:rPr>
        <w:t xml:space="preserve">Acknowledgments.</w:t>
      </w:r>
      <w:r>
        <w:rPr>
          <w:sz w:val="16"/>
          <w:szCs w:val="16"/>
          <w:lang w:val="en-US"/>
        </w:rPr>
        <w:t xml:space="preserve"> The authors are grateful </w:t>
      </w:r>
      <w:r>
        <w:rPr>
          <w:sz w:val="16"/>
          <w:szCs w:val="16"/>
          <w:lang w:val="en-US"/>
        </w:rPr>
        <w:t xml:space="preserve">NOAA/POES/MetOp team for providing experimental data on energetic particles.</w:t>
      </w:r>
      <w:r>
        <w:rPr>
          <w:sz w:val="16"/>
          <w:szCs w:val="16"/>
          <w:lang w:val="en-US"/>
        </w:rPr>
        <w:t xml:space="preserve"> </w:t>
      </w:r>
      <w:r>
        <w:rPr>
          <w:sz w:val="16"/>
          <w:szCs w:val="16"/>
        </w:rPr>
      </w:r>
      <w:r>
        <w:rPr>
          <w:sz w:val="16"/>
          <w:szCs w:val="16"/>
        </w:rPr>
      </w:r>
    </w:p>
    <w:p>
      <w:pPr>
        <w:ind w:left="567" w:right="0" w:firstLine="0"/>
        <w:jc w:val="both"/>
        <w:rPr>
          <w:sz w:val="16"/>
          <w:szCs w:val="16"/>
        </w:rPr>
      </w:pPr>
      <w:r>
        <w:rPr>
          <w:sz w:val="16"/>
          <w:szCs w:val="16"/>
          <w:lang w:val="en-US"/>
        </w:rPr>
        <w:t xml:space="preserve">The study was carried out within the framework of the state assignment of Moscow State University named after M.V. Lomonosov</w:t>
      </w:r>
      <w:r>
        <w:rPr>
          <w:sz w:val="16"/>
          <w:szCs w:val="16"/>
          <w:lang w:val="en-US"/>
        </w:rPr>
        <w:t xml:space="preserve">.</w:t>
      </w:r>
      <w:r>
        <w:rPr>
          <w:sz w:val="16"/>
          <w:szCs w:val="16"/>
        </w:rPr>
      </w:r>
      <w:r>
        <w:rPr>
          <w:sz w:val="16"/>
          <w:szCs w:val="16"/>
        </w:rPr>
      </w:r>
    </w:p>
    <w:p>
      <w:pPr>
        <w:jc w:val="both"/>
        <w:rPr>
          <w:sz w:val="20"/>
          <w:szCs w:val="20"/>
          <w:lang w:val="en-US"/>
        </w:rPr>
      </w:pPr>
      <w:r>
        <w:rPr>
          <w:sz w:val="20"/>
          <w:szCs w:val="20"/>
          <w:lang w:val="en-US"/>
        </w:rPr>
      </w:r>
      <w:r>
        <w:rPr>
          <w:sz w:val="20"/>
          <w:szCs w:val="20"/>
          <w:lang w:val="en-US"/>
        </w:rPr>
      </w:r>
      <w:r>
        <w:rPr>
          <w:sz w:val="20"/>
          <w:szCs w:val="20"/>
          <w:lang w:val="en-US"/>
        </w:rPr>
      </w:r>
    </w:p>
    <w:p>
      <w:pPr>
        <w:jc w:val="both"/>
        <w:rPr>
          <w:b/>
          <w:bCs/>
          <w:sz w:val="20"/>
          <w:szCs w:val="20"/>
          <w:lang w:val="en-US"/>
        </w:rPr>
      </w:pPr>
      <w:r>
        <w:rPr>
          <w:b/>
          <w:bCs/>
          <w:sz w:val="20"/>
          <w:szCs w:val="20"/>
          <w:lang w:val="en-US"/>
        </w:rPr>
        <w:t xml:space="preserve">References</w:t>
      </w:r>
      <w:r>
        <w:rPr>
          <w:b/>
          <w:bCs/>
          <w:sz w:val="20"/>
          <w:szCs w:val="20"/>
          <w:lang w:val="en-US"/>
        </w:rPr>
      </w:r>
      <w:r>
        <w:rPr>
          <w:b/>
          <w:bCs/>
          <w:sz w:val="20"/>
          <w:szCs w:val="20"/>
          <w:lang w:val="en-US"/>
        </w:rPr>
      </w:r>
    </w:p>
    <w:p>
      <w:pPr>
        <w:ind w:left="283" w:right="0" w:hanging="283"/>
        <w:rPr>
          <w:sz w:val="20"/>
          <w:szCs w:val="20"/>
        </w:rPr>
      </w:pPr>
      <w:r>
        <w:rPr>
          <w:sz w:val="20"/>
          <w:szCs w:val="20"/>
          <w:highlight w:val="none"/>
          <w:lang w:val="en-US"/>
        </w:rPr>
        <w:t xml:space="preserve">1. Imhof W.L., Smith R.V. (1966). The behavior of trapped electrons and protons at the lower edge of the inner radiation belt. </w:t>
      </w:r>
      <w:r>
        <w:rPr>
          <w:i/>
          <w:iCs/>
          <w:sz w:val="20"/>
          <w:szCs w:val="20"/>
          <w:lang w:val="en-US"/>
        </w:rPr>
        <w:t xml:space="preserve">J. Geophys. Res.</w:t>
      </w:r>
      <w:r>
        <w:rPr>
          <w:sz w:val="20"/>
          <w:szCs w:val="20"/>
          <w:lang w:val="en-US"/>
        </w:rPr>
        <w:t xml:space="preserve">, </w:t>
      </w:r>
      <w:r>
        <w:rPr>
          <w:i/>
          <w:iCs/>
          <w:sz w:val="20"/>
          <w:szCs w:val="20"/>
          <w:lang w:val="en-US"/>
        </w:rPr>
        <w:t xml:space="preserve">71</w:t>
      </w:r>
      <w:r>
        <w:rPr>
          <w:sz w:val="20"/>
          <w:szCs w:val="20"/>
          <w:lang w:val="en-US"/>
        </w:rPr>
        <w:t xml:space="preserve">, </w:t>
      </w:r>
      <w:r>
        <w:rPr>
          <w:i/>
          <w:iCs/>
          <w:sz w:val="20"/>
          <w:szCs w:val="20"/>
          <w:lang w:val="en-US"/>
        </w:rPr>
        <w:t xml:space="preserve">17</w:t>
      </w:r>
      <w:r>
        <w:rPr>
          <w:sz w:val="20"/>
          <w:szCs w:val="20"/>
          <w:lang w:val="en-US"/>
        </w:rPr>
        <w:t xml:space="preserve">, 4157-4170.</w:t>
      </w:r>
      <w:r>
        <w:rPr>
          <w:sz w:val="20"/>
          <w:szCs w:val="20"/>
        </w:rPr>
      </w:r>
      <w:r>
        <w:rPr>
          <w:sz w:val="20"/>
          <w:szCs w:val="20"/>
        </w:rPr>
      </w:r>
    </w:p>
    <w:p>
      <w:pPr>
        <w:ind w:left="283" w:right="0" w:hanging="283"/>
        <w:rPr>
          <w:sz w:val="20"/>
          <w:szCs w:val="20"/>
          <w14:ligatures w14:val="none"/>
        </w:rPr>
        <w:pBdr>
          <w:top w:val="none" w:color="000000" w:sz="4" w:space="0"/>
          <w:left w:val="none" w:color="000000" w:sz="4" w:space="0"/>
          <w:bottom w:val="none" w:color="000000" w:sz="4" w:space="0"/>
          <w:right w:val="none" w:color="000000" w:sz="4" w:space="0"/>
        </w:pBdr>
      </w:pPr>
      <w:r>
        <w:rPr>
          <w:sz w:val="20"/>
          <w:szCs w:val="20"/>
          <w:lang w:val="en-US"/>
        </w:rPr>
        <w:t xml:space="preserve">2. Voss H.D., Smith L.G. (1980) Global zone of energetic particles precipitation. </w:t>
      </w:r>
      <w:r>
        <w:rPr>
          <w:i/>
          <w:iCs/>
          <w:sz w:val="20"/>
          <w:szCs w:val="20"/>
          <w:lang w:val="en-US"/>
        </w:rPr>
        <w:t xml:space="preserve">J. Atmos. Terr. Phys.</w:t>
      </w:r>
      <w:r>
        <w:rPr>
          <w:sz w:val="20"/>
          <w:szCs w:val="20"/>
          <w:lang w:val="en-US"/>
        </w:rPr>
        <w:t xml:space="preserve">, </w:t>
      </w:r>
      <w:r>
        <w:rPr>
          <w:i/>
          <w:iCs/>
          <w:sz w:val="20"/>
          <w:szCs w:val="20"/>
          <w:lang w:val="en-US"/>
        </w:rPr>
        <w:t xml:space="preserve">42</w:t>
      </w:r>
      <w:r>
        <w:rPr>
          <w:sz w:val="20"/>
          <w:szCs w:val="20"/>
          <w:lang w:val="en-US"/>
        </w:rPr>
        <w:t xml:space="preserve">, 227-239.</w:t>
      </w:r>
      <w:r>
        <w:rPr>
          <w:sz w:val="20"/>
          <w:szCs w:val="20"/>
          <w14:ligatures w14:val="none"/>
        </w:rPr>
      </w:r>
      <w:r>
        <w:rPr>
          <w:sz w:val="20"/>
          <w:szCs w:val="20"/>
          <w14:ligatures w14:val="none"/>
        </w:rPr>
      </w:r>
    </w:p>
    <w:p>
      <w:pPr>
        <w:ind w:left="283" w:right="0" w:hanging="283"/>
        <w:rPr>
          <w:sz w:val="20"/>
          <w:szCs w:val="20"/>
          <w:highlight w:val="none"/>
        </w:rPr>
      </w:pPr>
      <w:r>
        <w:rPr>
          <w:sz w:val="20"/>
          <w:szCs w:val="20"/>
          <w:highlight w:val="none"/>
          <w:lang w:val="en-US"/>
        </w:rPr>
        <w:t xml:space="preserve">3. Suvorova A.V. (2017).</w:t>
      </w:r>
      <w:r>
        <w:rPr>
          <w:sz w:val="20"/>
          <w:szCs w:val="20"/>
          <w:highlight w:val="none"/>
          <w:lang w:val="en-US"/>
        </w:rPr>
        <w:t xml:space="preserve"> </w:t>
      </w:r>
      <w:r>
        <w:rPr>
          <w:sz w:val="20"/>
          <w:szCs w:val="20"/>
          <w:highlight w:val="none"/>
          <w:lang w:val="en-US"/>
        </w:rPr>
        <w:t xml:space="preserve">Flux enhancements of &gt;30 keV electrons at low drift shells L &lt;1.2 during last solar cycles, </w:t>
      </w:r>
      <w:r>
        <w:rPr>
          <w:i/>
          <w:iCs/>
          <w:sz w:val="20"/>
          <w:szCs w:val="20"/>
          <w:highlight w:val="none"/>
          <w:lang w:val="en-US"/>
        </w:rPr>
        <w:t xml:space="preserve">J. Geophys Res. Space Phys.</w:t>
      </w:r>
      <w:r>
        <w:rPr>
          <w:sz w:val="20"/>
          <w:szCs w:val="20"/>
          <w:highlight w:val="none"/>
          <w:lang w:val="en-US"/>
        </w:rPr>
        <w:t xml:space="preserve">, </w:t>
      </w:r>
      <w:r>
        <w:rPr>
          <w:sz w:val="20"/>
          <w:szCs w:val="20"/>
          <w:highlight w:val="none"/>
          <w:lang w:val="en-US"/>
        </w:rPr>
        <w:t xml:space="preserve">122</w:t>
      </w:r>
      <w:r>
        <w:rPr>
          <w:sz w:val="20"/>
          <w:szCs w:val="20"/>
          <w:highlight w:val="none"/>
          <w:lang w:val="en-US"/>
        </w:rPr>
        <w:t xml:space="preserve">, 12274-12287. </w:t>
      </w:r>
      <w:r>
        <w:rPr>
          <w:sz w:val="20"/>
          <w:szCs w:val="20"/>
          <w:highlight w:val="none"/>
        </w:rPr>
      </w:r>
      <w:r>
        <w:rPr>
          <w:sz w:val="20"/>
          <w:szCs w:val="20"/>
          <w:highlight w:val="none"/>
        </w:rPr>
      </w:r>
    </w:p>
    <w:p>
      <w:pPr>
        <w:ind w:left="283" w:right="0" w:hanging="283"/>
        <w:rPr>
          <w:sz w:val="20"/>
          <w:szCs w:val="20"/>
          <w:highlight w:val="none"/>
        </w:rPr>
      </w:pPr>
      <w:r>
        <w:rPr>
          <w:sz w:val="20"/>
          <w:szCs w:val="20"/>
          <w:lang w:val="en-US"/>
        </w:rPr>
        <w:t xml:space="preserve">4. Suvorova A.V., Dmitriev A.V. (2025). On external drivers of sudden increase of energetic electrons in the quasi-trapped zone during superstorms. </w:t>
      </w:r>
      <w:r>
        <w:rPr>
          <w:i/>
          <w:iCs/>
          <w:sz w:val="20"/>
          <w:szCs w:val="20"/>
          <w:lang w:val="en-US"/>
        </w:rPr>
        <w:t xml:space="preserve">Geomag</w:t>
      </w:r>
      <w:r>
        <w:rPr>
          <w:i/>
          <w:iCs/>
          <w:sz w:val="20"/>
          <w:szCs w:val="20"/>
          <w:lang w:val="en-US"/>
        </w:rPr>
        <w:t xml:space="preserve">. Aeron.</w:t>
      </w:r>
      <w:r>
        <w:rPr>
          <w:sz w:val="20"/>
          <w:szCs w:val="20"/>
          <w:lang w:val="en-US"/>
        </w:rPr>
        <w:t xml:space="preserve">, </w:t>
      </w:r>
      <w:r>
        <w:rPr>
          <w:i/>
          <w:iCs/>
          <w:sz w:val="20"/>
          <w:szCs w:val="20"/>
          <w:lang w:val="en-US"/>
        </w:rPr>
        <w:t xml:space="preserve">65</w:t>
      </w:r>
      <w:r>
        <w:rPr>
          <w:sz w:val="20"/>
          <w:szCs w:val="20"/>
          <w:lang w:val="en-US"/>
        </w:rPr>
        <w:t xml:space="preserve">, No 6</w:t>
      </w:r>
      <w:r>
        <w:rPr>
          <w:sz w:val="20"/>
          <w:szCs w:val="20"/>
          <w:lang w:val="en-US"/>
        </w:rPr>
        <w:t xml:space="preserve">.</w:t>
      </w:r>
      <w:r>
        <w:rPr>
          <w:sz w:val="20"/>
          <w:szCs w:val="20"/>
          <w:highlight w:val="none"/>
        </w:rPr>
      </w:r>
      <w:r>
        <w:rPr>
          <w:sz w:val="20"/>
          <w:szCs w:val="20"/>
          <w:highlight w:val="none"/>
        </w:rPr>
      </w:r>
    </w:p>
    <w:p>
      <w:pPr>
        <w:ind w:left="283" w:right="0" w:hanging="283"/>
        <w:rPr>
          <w:sz w:val="20"/>
          <w:szCs w:val="20"/>
        </w:rPr>
      </w:pPr>
      <w:r>
        <w:rPr>
          <w:sz w:val="20"/>
          <w:szCs w:val="20"/>
          <w:lang w:val="en-US"/>
        </w:rPr>
        <w:t xml:space="preserve">5. Suvorova A.V., Tsai </w:t>
      </w:r>
      <w:r>
        <w:rPr>
          <w:sz w:val="20"/>
          <w:szCs w:val="20"/>
          <w:lang w:val="en-US"/>
        </w:rPr>
        <w:t xml:space="preserve">L.-C.</w:t>
      </w:r>
      <w:r>
        <w:rPr>
          <w:sz w:val="20"/>
          <w:szCs w:val="20"/>
          <w:lang w:val="en-US"/>
        </w:rPr>
        <w:t xml:space="preserve">,  Dmitriev </w:t>
      </w:r>
      <w:r>
        <w:rPr>
          <w:sz w:val="20"/>
          <w:szCs w:val="20"/>
          <w:lang w:val="en-US"/>
        </w:rPr>
        <w:t xml:space="preserve">A.V.</w:t>
      </w:r>
      <w:r>
        <w:rPr>
          <w:sz w:val="20"/>
          <w:szCs w:val="20"/>
          <w:lang w:val="en-US"/>
        </w:rPr>
        <w:t xml:space="preserve"> (2012). On relation between mid-latitude ionospheric ionization and quasi-trapped energetic electrons during 15 December 2006 magnetic storm.</w:t>
      </w:r>
      <w:r>
        <w:rPr>
          <w:sz w:val="20"/>
          <w:szCs w:val="20"/>
          <w:lang w:val="en-US"/>
        </w:rPr>
        <w:t xml:space="preserve"> </w:t>
      </w:r>
      <w:r>
        <w:rPr>
          <w:i/>
          <w:sz w:val="20"/>
          <w:szCs w:val="20"/>
          <w:lang w:val="en-US"/>
        </w:rPr>
        <w:t xml:space="preserve">Planet. Space Sci.</w:t>
      </w:r>
      <w:r>
        <w:rPr>
          <w:sz w:val="20"/>
          <w:szCs w:val="20"/>
          <w:lang w:val="en-US"/>
        </w:rPr>
        <w:t xml:space="preserve">, </w:t>
      </w:r>
      <w:r>
        <w:rPr>
          <w:i/>
          <w:iCs/>
          <w:sz w:val="20"/>
          <w:szCs w:val="20"/>
          <w:lang w:val="en-US"/>
        </w:rPr>
        <w:t xml:space="preserve">60</w:t>
      </w:r>
      <w:r>
        <w:rPr>
          <w:sz w:val="20"/>
          <w:szCs w:val="20"/>
          <w:lang w:val="en-US"/>
        </w:rPr>
        <w:t xml:space="preserve">,</w:t>
      </w:r>
      <w:r>
        <w:rPr>
          <w:sz w:val="20"/>
          <w:szCs w:val="20"/>
          <w:lang w:val="en-US"/>
        </w:rPr>
        <w:t xml:space="preserve"> </w:t>
      </w:r>
      <w:r>
        <w:rPr>
          <w:sz w:val="20"/>
          <w:szCs w:val="20"/>
          <w:lang w:val="en-US"/>
        </w:rPr>
        <w:t xml:space="preserve">363-369</w:t>
      </w:r>
      <w:r>
        <w:rPr>
          <w:sz w:val="20"/>
          <w:szCs w:val="20"/>
          <w:lang w:val="en-US"/>
        </w:rPr>
        <w:t xml:space="preserve">.</w:t>
      </w:r>
      <w:r>
        <w:rPr>
          <w:sz w:val="20"/>
          <w:szCs w:val="20"/>
        </w:rPr>
      </w:r>
      <w:r>
        <w:rPr>
          <w:sz w:val="20"/>
          <w:szCs w:val="20"/>
        </w:rPr>
      </w:r>
    </w:p>
    <w:p>
      <w:pPr>
        <w:ind w:left="283" w:right="0" w:hanging="283"/>
        <w:rPr>
          <w:sz w:val="20"/>
          <w:szCs w:val="20"/>
          <w14:ligatures w14:val="none"/>
        </w:rPr>
      </w:pPr>
      <w:r>
        <w:rPr>
          <w:sz w:val="20"/>
          <w:szCs w:val="20"/>
          <w:highlight w:val="none"/>
          <w:lang w:val="en-US"/>
        </w:rPr>
        <w:t xml:space="preserve">6. </w:t>
      </w:r>
      <w:r>
        <w:rPr>
          <w:sz w:val="20"/>
          <w:szCs w:val="20"/>
          <w:lang w:val="en-US"/>
        </w:rPr>
        <w:t xml:space="preserve">Suvorova A.V., Dmitriev A.V</w:t>
      </w:r>
      <w:r>
        <w:rPr>
          <w:sz w:val="20"/>
          <w:szCs w:val="20"/>
          <w:lang w:val="en-US"/>
        </w:rPr>
        <w:t xml:space="preserve">. </w:t>
      </w:r>
      <w:r>
        <w:rPr>
          <w:sz w:val="20"/>
          <w:szCs w:val="20"/>
          <w:lang w:val="en-US"/>
        </w:rPr>
        <w:t xml:space="preserve">(2025). On the role of abrupt solar wind pressure changes in forbidden energetic electron enhancements. </w:t>
      </w:r>
      <w:r>
        <w:rPr>
          <w:i/>
          <w:iCs/>
          <w:sz w:val="20"/>
          <w:szCs w:val="20"/>
          <w:lang w:val="en-US"/>
        </w:rPr>
        <w:t xml:space="preserve">Universe</w:t>
      </w:r>
      <w:r>
        <w:rPr>
          <w:sz w:val="20"/>
          <w:szCs w:val="20"/>
          <w:lang w:val="en-US"/>
        </w:rPr>
        <w:t xml:space="preserve">, </w:t>
      </w:r>
      <w:r>
        <w:rPr>
          <w:i/>
          <w:iCs/>
          <w:sz w:val="20"/>
          <w:szCs w:val="20"/>
          <w:lang w:val="en-US"/>
        </w:rPr>
        <w:t xml:space="preserve">11</w:t>
      </w:r>
      <w:r>
        <w:rPr>
          <w:sz w:val="20"/>
          <w:szCs w:val="20"/>
          <w:lang w:val="en-US"/>
        </w:rPr>
        <w:t xml:space="preserve">, 226.</w:t>
      </w:r>
      <w:r>
        <w:rPr>
          <w:sz w:val="20"/>
          <w:szCs w:val="20"/>
          <w:lang w:val="en-US"/>
        </w:rPr>
        <w:t xml:space="preserve"> </w:t>
      </w:r>
      <w:r>
        <w:rPr>
          <w:sz w:val="20"/>
          <w:szCs w:val="20"/>
          <w14:ligatures w14:val="none"/>
        </w:rPr>
      </w:r>
      <w:r>
        <w:rPr>
          <w:sz w:val="20"/>
          <w:szCs w:val="20"/>
          <w14:ligatures w14:val="none"/>
        </w:rPr>
      </w:r>
    </w:p>
    <w:p>
      <w:pPr>
        <w:ind w:left="283" w:right="0" w:hanging="283"/>
        <w:rPr>
          <w:rStyle w:val="818"/>
          <w:sz w:val="20"/>
          <w:szCs w:val="20"/>
          <w:highlight w:val="none"/>
          <w14:ligatures w14:val="none"/>
        </w:rPr>
        <w:pBdr>
          <w:top w:val="none" w:color="000000" w:sz="4" w:space="0"/>
          <w:left w:val="none" w:color="000000" w:sz="4" w:space="0"/>
          <w:bottom w:val="none" w:color="000000" w:sz="4" w:space="0"/>
          <w:right w:val="none" w:color="000000" w:sz="4" w:space="0"/>
        </w:pBdr>
      </w:pPr>
      <w:r>
        <w:rPr>
          <w:sz w:val="20"/>
          <w:szCs w:val="20"/>
          <w:highlight w:val="none"/>
          <w:lang w:val="en-US"/>
        </w:rPr>
        <w:t xml:space="preserve">7. Suvorova, A.V., Huang, C.-M., Matsumoto, H., et al. (2014). Low-latitude ionospheric effects of energetic electrons during a recurrent magnetic storm. </w:t>
      </w:r>
      <w:r>
        <w:rPr>
          <w:i/>
          <w:iCs/>
          <w:sz w:val="20"/>
          <w:szCs w:val="20"/>
          <w:highlight w:val="none"/>
          <w:lang w:val="en-US"/>
        </w:rPr>
        <w:t xml:space="preserve">J. Geophys. Res. Space Phys.</w:t>
      </w:r>
      <w:r>
        <w:rPr>
          <w:sz w:val="20"/>
          <w:szCs w:val="20"/>
          <w:highlight w:val="none"/>
          <w:lang w:val="en-US"/>
        </w:rPr>
        <w:t xml:space="preserve"> </w:t>
      </w:r>
      <w:r>
        <w:rPr>
          <w:i/>
          <w:iCs/>
          <w:sz w:val="20"/>
          <w:szCs w:val="20"/>
          <w:highlight w:val="none"/>
          <w:lang w:val="en-US"/>
        </w:rPr>
        <w:t xml:space="preserve">119</w:t>
      </w:r>
      <w:r>
        <w:rPr>
          <w:sz w:val="20"/>
          <w:szCs w:val="20"/>
          <w:highlight w:val="none"/>
          <w:lang w:val="en-US"/>
        </w:rPr>
        <w:t xml:space="preserve">, 9283−9302. </w:t>
      </w:r>
      <w:r>
        <w:rPr>
          <w:rStyle w:val="818"/>
          <w:sz w:val="20"/>
          <w:szCs w:val="20"/>
          <w:highlight w:val="none"/>
          <w14:ligatures w14:val="none"/>
        </w:rPr>
      </w:r>
      <w:r>
        <w:rPr>
          <w:rStyle w:val="818"/>
          <w:sz w:val="20"/>
          <w:szCs w:val="20"/>
          <w:highlight w:val="none"/>
          <w14:ligatures w14:val="none"/>
        </w:rPr>
      </w:r>
    </w:p>
    <w:p>
      <w:pPr>
        <w:ind w:left="283" w:right="0" w:hanging="283"/>
        <w:rPr>
          <w:rStyle w:val="818"/>
          <w:sz w:val="20"/>
          <w:szCs w:val="20"/>
          <w:highlight w:val="none"/>
        </w:rPr>
      </w:pPr>
      <w:r>
        <w:rPr>
          <w:sz w:val="20"/>
          <w:szCs w:val="20"/>
          <w:lang w:val="en-US"/>
        </w:rPr>
        <w:t xml:space="preserve">8. Ilie R., Daldorff L.K.S., Liemohn M.W., et al. (2017). Calculating the inductive electric field in the terrestrial magnetosphere. </w:t>
      </w:r>
      <w:r>
        <w:rPr>
          <w:i/>
          <w:iCs/>
          <w:sz w:val="20"/>
          <w:szCs w:val="20"/>
          <w:lang w:val="en-US"/>
        </w:rPr>
        <w:t xml:space="preserve">J. Geophys. Res.</w:t>
      </w:r>
      <w:r>
        <w:rPr>
          <w:sz w:val="20"/>
          <w:szCs w:val="20"/>
          <w:lang w:val="en-US"/>
        </w:rPr>
        <w:t xml:space="preserve">, </w:t>
      </w:r>
      <w:r>
        <w:rPr>
          <w:i/>
          <w:iCs/>
          <w:sz w:val="20"/>
          <w:szCs w:val="20"/>
          <w:lang w:val="en-US"/>
        </w:rPr>
        <w:t xml:space="preserve">122</w:t>
      </w:r>
      <w:r>
        <w:rPr>
          <w:sz w:val="20"/>
          <w:szCs w:val="20"/>
          <w:lang w:val="en-US"/>
        </w:rPr>
        <w:t xml:space="preserve">, 5391-5403.</w:t>
      </w:r>
      <w:r>
        <w:rPr>
          <w:rStyle w:val="818"/>
          <w:sz w:val="20"/>
          <w:szCs w:val="20"/>
          <w:highlight w:val="none"/>
        </w:rPr>
      </w:r>
      <w:r>
        <w:rPr>
          <w:rStyle w:val="818"/>
          <w:sz w:val="20"/>
          <w:szCs w:val="20"/>
          <w:highlight w:val="none"/>
        </w:rPr>
      </w:r>
    </w:p>
    <w:p>
      <w:pPr>
        <w:ind w:left="283" w:right="0" w:hanging="283"/>
        <w:rPr>
          <w:sz w:val="20"/>
          <w:szCs w:val="20"/>
          <w:highlight w:val="none"/>
          <w14:ligatures w14:val="none"/>
        </w:rPr>
        <w:pBdr>
          <w:top w:val="none" w:color="000000" w:sz="4" w:space="0"/>
          <w:left w:val="none" w:color="000000" w:sz="4" w:space="0"/>
          <w:bottom w:val="none" w:color="000000" w:sz="4" w:space="0"/>
          <w:right w:val="none" w:color="000000" w:sz="4" w:space="0"/>
        </w:pBdr>
      </w:pPr>
      <w:r>
        <w:rPr>
          <w:sz w:val="20"/>
          <w:szCs w:val="20"/>
          <w:highlight w:val="none"/>
          <w:lang w:val="en-US"/>
        </w:rPr>
        <w:t xml:space="preserve">9. </w:t>
      </w:r>
      <w:r>
        <w:rPr>
          <w:sz w:val="20"/>
          <w:szCs w:val="20"/>
          <w:highlight w:val="none"/>
          <w:lang w:val="en-US"/>
        </w:rPr>
        <w:t xml:space="preserve">Hui D., Vichare G.</w:t>
      </w:r>
      <w:r>
        <w:rPr>
          <w:sz w:val="20"/>
          <w:szCs w:val="20"/>
          <w:highlight w:val="none"/>
          <w:lang w:val="en-US"/>
        </w:rPr>
        <w:t xml:space="preserve"> (2019). Variable responses of equatorial ionosphere during undershielding and overshielding conditions. </w:t>
      </w:r>
      <w:r>
        <w:rPr>
          <w:i/>
          <w:iCs/>
          <w:sz w:val="20"/>
          <w:szCs w:val="20"/>
          <w:highlight w:val="none"/>
          <w:lang w:val="en-US"/>
        </w:rPr>
        <w:t xml:space="preserve">J. Geophys. Res. Space Phys.</w:t>
      </w:r>
      <w:r>
        <w:rPr>
          <w:sz w:val="20"/>
          <w:szCs w:val="20"/>
          <w:highlight w:val="none"/>
          <w:lang w:val="en-US"/>
        </w:rPr>
        <w:t xml:space="preserve">, </w:t>
      </w:r>
      <w:r>
        <w:rPr>
          <w:i/>
          <w:iCs/>
          <w:sz w:val="20"/>
          <w:szCs w:val="20"/>
          <w:highlight w:val="none"/>
          <w:lang w:val="en-US"/>
        </w:rPr>
        <w:t xml:space="preserve">124</w:t>
      </w:r>
      <w:r>
        <w:rPr>
          <w:sz w:val="20"/>
          <w:szCs w:val="20"/>
          <w:highlight w:val="none"/>
          <w:lang w:val="en-US"/>
        </w:rPr>
        <w:t xml:space="preserve">, 1328–1342. </w:t>
      </w:r>
      <w:r>
        <w:rPr>
          <w:sz w:val="20"/>
          <w:szCs w:val="20"/>
          <w:highlight w:val="none"/>
          <w14:ligatures w14:val="none"/>
        </w:rPr>
      </w:r>
      <w:r>
        <w:rPr>
          <w:sz w:val="20"/>
          <w:szCs w:val="20"/>
          <w:highlight w:val="none"/>
          <w14:ligatures w14:val="none"/>
        </w:rPr>
      </w:r>
    </w:p>
    <w:p>
      <w:pPr>
        <w:ind w:left="283" w:right="0" w:hanging="283"/>
        <w:rPr>
          <w:sz w:val="20"/>
          <w:szCs w:val="20"/>
          <w:highlight w:val="none"/>
          <w14:ligatures w14:val="none"/>
        </w:rPr>
        <w:pBdr>
          <w:top w:val="none" w:color="000000" w:sz="4" w:space="0"/>
          <w:left w:val="none" w:color="000000" w:sz="4" w:space="0"/>
          <w:bottom w:val="none" w:color="000000" w:sz="4" w:space="0"/>
          <w:right w:val="none" w:color="000000" w:sz="4" w:space="0"/>
        </w:pBdr>
      </w:pPr>
      <w:r>
        <w:rPr>
          <w:sz w:val="20"/>
          <w:szCs w:val="20"/>
          <w:highlight w:val="none"/>
          <w14:ligatures w14:val="none"/>
        </w:rPr>
      </w:r>
      <w:r>
        <w:rPr>
          <w:sz w:val="20"/>
          <w:szCs w:val="20"/>
          <w:highlight w:val="none"/>
          <w:lang w:val="en-US"/>
        </w:rPr>
        <w:t xml:space="preserve">10. Søraas, F., Oksavik, K., Aarsnes, K., Evans, D., Greer, M. (2003), Storm </w:t>
      </w:r>
      <w:r>
        <w:rPr>
          <w:sz w:val="20"/>
          <w:szCs w:val="20"/>
          <w:highlight w:val="none"/>
          <w:lang w:val="en-US"/>
        </w:rPr>
        <w:t xml:space="preserve">time equatorial belt—An ‘‘image’’ of RC behavior. </w:t>
      </w:r>
      <w:r>
        <w:rPr>
          <w:i/>
          <w:iCs/>
          <w:sz w:val="20"/>
          <w:szCs w:val="20"/>
          <w:highlight w:val="none"/>
          <w:lang w:val="en-US"/>
        </w:rPr>
        <w:t xml:space="preserve">Geophys. Res. Lett.</w:t>
      </w:r>
      <w:r>
        <w:rPr>
          <w:sz w:val="20"/>
          <w:szCs w:val="20"/>
          <w:highlight w:val="none"/>
          <w:lang w:val="en-US"/>
        </w:rPr>
        <w:t xml:space="preserve">, </w:t>
      </w:r>
      <w:r>
        <w:rPr>
          <w:i/>
          <w:iCs/>
          <w:sz w:val="20"/>
          <w:szCs w:val="20"/>
          <w:highlight w:val="none"/>
          <w:lang w:val="en-US"/>
        </w:rPr>
        <w:t xml:space="preserve">30</w:t>
      </w:r>
      <w:r>
        <w:rPr>
          <w:sz w:val="20"/>
          <w:szCs w:val="20"/>
          <w:highlight w:val="none"/>
          <w:lang w:val="en-US"/>
        </w:rPr>
        <w:t xml:space="preserve">(2), 1052. https://doi.org/10.1029/2002GL015636.</w:t>
      </w:r>
      <w:r>
        <w:rPr>
          <w:sz w:val="20"/>
          <w:szCs w:val="20"/>
          <w:highlight w:val="none"/>
          <w14:ligatures w14:val="none"/>
        </w:rPr>
      </w:r>
      <w:r>
        <w:rPr>
          <w:sz w:val="20"/>
          <w:szCs w:val="20"/>
          <w:highlight w:val="none"/>
          <w14:ligatures w14:val="none"/>
        </w:rPr>
      </w:r>
    </w:p>
    <w:p>
      <w:pPr>
        <w:jc w:val="center"/>
        <w:rPr>
          <w:b/>
          <w:bCs/>
          <w:color w:val="000000"/>
          <w:sz w:val="28"/>
          <w:szCs w:val="28"/>
        </w:rPr>
      </w:pPr>
      <w:r>
        <w:rPr>
          <w:b/>
          <w:bCs/>
          <w:color w:val="000000"/>
          <w:sz w:val="24"/>
          <w:szCs w:val="24"/>
          <w:lang w:val="en-US"/>
        </w:rPr>
        <w:t xml:space="preserve">Анализ потоков энергичных протонов под РПЗ на ранней стадии развития кольцевого тока во время геомагнитной супербури в мае 2024</w:t>
      </w:r>
      <w:r>
        <w:rPr>
          <w:b/>
          <w:bCs/>
          <w:color w:val="000000"/>
          <w:sz w:val="28"/>
          <w:szCs w:val="28"/>
        </w:rPr>
      </w:r>
      <w:r>
        <w:rPr>
          <w:b/>
          <w:bCs/>
          <w:color w:val="000000"/>
          <w:sz w:val="28"/>
          <w:szCs w:val="28"/>
        </w:rPr>
      </w:r>
    </w:p>
    <w:p>
      <w:pPr>
        <w:jc w:val="center"/>
        <w:rPr>
          <w:i/>
          <w:iCs/>
          <w:color w:val="000000"/>
          <w:sz w:val="18"/>
          <w:szCs w:val="18"/>
        </w:rPr>
      </w:pPr>
      <w:r>
        <w:rPr>
          <w:i/>
          <w:iCs/>
          <w:color w:val="000000"/>
          <w:sz w:val="24"/>
          <w:szCs w:val="24"/>
          <w:lang w:val="en-US"/>
        </w:rPr>
      </w:r>
      <w:r>
        <w:rPr>
          <w:i/>
          <w:iCs/>
          <w:color w:val="000000"/>
          <w:sz w:val="18"/>
          <w:szCs w:val="18"/>
        </w:rPr>
      </w:r>
      <w:r>
        <w:rPr>
          <w:i/>
          <w:iCs/>
          <w:color w:val="000000"/>
          <w:sz w:val="18"/>
          <w:szCs w:val="18"/>
        </w:rPr>
      </w:r>
    </w:p>
    <w:p>
      <w:pPr>
        <w:jc w:val="center"/>
        <w:rPr>
          <w:color w:val="000000"/>
          <w:sz w:val="20"/>
          <w:szCs w:val="20"/>
        </w:rPr>
      </w:pPr>
      <w:r>
        <w:rPr>
          <w:color w:val="000000"/>
          <w:sz w:val="24"/>
          <w:szCs w:val="24"/>
          <w:lang w:val="en-US"/>
        </w:rPr>
        <w:t xml:space="preserve">А.В. Суворова</w:t>
      </w:r>
      <w:r>
        <w:rPr>
          <w:color w:val="000000"/>
          <w:sz w:val="20"/>
          <w:szCs w:val="20"/>
        </w:rPr>
      </w:r>
      <w:r>
        <w:rPr>
          <w:color w:val="000000"/>
          <w:sz w:val="20"/>
          <w:szCs w:val="20"/>
        </w:rPr>
      </w:r>
    </w:p>
    <w:p>
      <w:pPr>
        <w:jc w:val="center"/>
        <w:rPr>
          <w:i/>
          <w:iCs/>
          <w:color w:val="000000"/>
          <w:sz w:val="20"/>
          <w:szCs w:val="20"/>
        </w:rPr>
      </w:pPr>
      <w:r>
        <w:rPr>
          <w:i/>
          <w:iCs/>
          <w:color w:val="000000"/>
          <w:sz w:val="24"/>
          <w:szCs w:val="24"/>
          <w:lang w:val="en-US"/>
        </w:rPr>
        <w:t xml:space="preserve"> </w:t>
      </w:r>
      <w:r>
        <w:rPr>
          <w:i/>
          <w:iCs/>
          <w:color w:val="000000"/>
          <w:sz w:val="20"/>
          <w:szCs w:val="20"/>
        </w:rPr>
      </w:r>
      <w:r>
        <w:rPr>
          <w:i/>
          <w:iCs/>
          <w:color w:val="000000"/>
          <w:sz w:val="20"/>
          <w:szCs w:val="20"/>
        </w:rPr>
      </w:r>
    </w:p>
    <w:p>
      <w:pPr>
        <w:jc w:val="center"/>
        <w:rPr>
          <w:i w:val="0"/>
          <w:iCs w:val="0"/>
          <w:color w:val="000000"/>
          <w:sz w:val="24"/>
          <w:szCs w:val="24"/>
        </w:rPr>
      </w:pPr>
      <w:r>
        <w:rPr>
          <w:i w:val="0"/>
          <w:iCs w:val="0"/>
          <w:color w:val="000000"/>
          <w:sz w:val="24"/>
          <w:szCs w:val="24"/>
          <w:lang w:val="en-US"/>
        </w:rPr>
        <w:t xml:space="preserve">НИИЯФ МГУ</w:t>
      </w:r>
      <w:r>
        <w:rPr>
          <w:i w:val="0"/>
          <w:iCs w:val="0"/>
          <w:color w:val="000000"/>
          <w:sz w:val="24"/>
          <w:szCs w:val="24"/>
        </w:rPr>
        <w:t xml:space="preserve">, </w:t>
      </w:r>
      <w:r>
        <w:rPr>
          <w:i w:val="0"/>
          <w:iCs w:val="0"/>
          <w:color w:val="000000"/>
          <w:sz w:val="24"/>
          <w:szCs w:val="24"/>
          <w:lang w:val="en-US"/>
        </w:rPr>
        <w:t xml:space="preserve">alla_suvorova@mail.ru</w:t>
      </w:r>
      <w:r>
        <w:rPr>
          <w:i w:val="0"/>
          <w:iCs w:val="0"/>
          <w:color w:val="000000"/>
          <w:sz w:val="24"/>
          <w:szCs w:val="24"/>
        </w:rPr>
      </w:r>
      <w:r>
        <w:rPr>
          <w:i w:val="0"/>
          <w:iCs w:val="0"/>
          <w:color w:val="000000"/>
          <w:sz w:val="24"/>
          <w:szCs w:val="24"/>
        </w:rPr>
      </w:r>
    </w:p>
    <w:p>
      <w:pPr>
        <w:rPr>
          <w:sz w:val="20"/>
          <w:szCs w:val="20"/>
        </w:rPr>
      </w:pPr>
      <w:r>
        <w:rPr>
          <w:sz w:val="24"/>
          <w:szCs w:val="24"/>
          <w:lang w:val="en-US"/>
        </w:rPr>
      </w:r>
      <w:r>
        <w:rPr>
          <w:sz w:val="20"/>
          <w:szCs w:val="20"/>
        </w:rPr>
      </w:r>
      <w:r>
        <w:rPr>
          <w:sz w:val="20"/>
          <w:szCs w:val="20"/>
        </w:rPr>
      </w:r>
    </w:p>
    <w:p>
      <w:pPr>
        <w:ind w:left="0" w:right="0" w:firstLine="0"/>
        <w:jc w:val="both"/>
        <w:rPr>
          <w:sz w:val="20"/>
          <w:szCs w:val="20"/>
          <w:lang w:val="en-US"/>
        </w:rPr>
      </w:pPr>
      <w:r>
        <w:rPr>
          <w:b/>
          <w:bCs/>
          <w:sz w:val="20"/>
          <w:szCs w:val="20"/>
          <w:lang w:val="en-US"/>
        </w:rPr>
        <w:t xml:space="preserve">Аннотация.</w:t>
      </w:r>
      <w:r>
        <w:rPr>
          <w:sz w:val="20"/>
          <w:szCs w:val="20"/>
          <w:lang w:val="en-US"/>
        </w:rPr>
        <w:t xml:space="preserve"> </w:t>
      </w:r>
      <w:r>
        <w:rPr>
          <w:sz w:val="20"/>
          <w:szCs w:val="20"/>
          <w:lang w:val="en-US"/>
        </w:rPr>
      </w:r>
      <w:r>
        <w:rPr>
          <w:sz w:val="20"/>
          <w:szCs w:val="20"/>
          <w:lang w:val="en-US"/>
        </w:rPr>
      </w:r>
    </w:p>
    <w:p>
      <w:pPr>
        <w:jc w:val="both"/>
        <w:rPr>
          <w:sz w:val="20"/>
          <w:szCs w:val="20"/>
          <w:lang w:val="en-US"/>
          <w14:ligatures w14:val="none"/>
        </w:rPr>
      </w:pPr>
      <w:r>
        <w:rPr>
          <w:sz w:val="20"/>
          <w:szCs w:val="20"/>
          <w:lang w:val="en-US"/>
        </w:rPr>
      </w:r>
      <w:r>
        <w:rPr>
          <w:sz w:val="20"/>
          <w:szCs w:val="20"/>
          <w:lang w:val="en-US"/>
        </w:rPr>
        <w:t xml:space="preserve">Внезапное увеличение потоков энергичных (30–300 кэВ) электронов под кромкой внутреннего радиационного пояса Земли, известных как “запрещённые энергичные электроны” (</w:t>
      </w:r>
      <w:r>
        <w:rPr>
          <w:sz w:val="20"/>
          <w:szCs w:val="20"/>
          <w:lang w:val="en-US"/>
        </w:rPr>
        <w:t xml:space="preserve">FEE</w:t>
      </w:r>
      <w:r>
        <w:rPr>
          <w:sz w:val="20"/>
          <w:szCs w:val="20"/>
          <w:lang w:val="en-US"/>
        </w:rPr>
        <w:t xml:space="preserve">), изучается более 10 лет. Для объяснения этого явления </w:t>
      </w:r>
      <w:r>
        <w:rPr>
          <w:sz w:val="20"/>
          <w:szCs w:val="20"/>
          <w:lang w:val="en-US"/>
        </w:rPr>
        <w:t xml:space="preserve">бы</w:t>
      </w:r>
      <w:r>
        <w:rPr>
          <w:sz w:val="20"/>
          <w:szCs w:val="20"/>
          <w:lang w:val="en-US"/>
        </w:rPr>
        <w:t xml:space="preserve">л предложен механизм быстрого радиального переноса, суть которого заключается в электрическом дрейфе, независящем от знака заряда частицы. Оставляя пока в стороне вопросы, связанные с природой возникновения или проникновения электрического поля на столь ни</w:t>
      </w:r>
      <w:r>
        <w:rPr>
          <w:sz w:val="20"/>
          <w:szCs w:val="20"/>
          <w:lang w:val="en-US"/>
        </w:rPr>
        <w:t xml:space="preserve">зк</w:t>
      </w:r>
      <w:r>
        <w:rPr>
          <w:sz w:val="20"/>
          <w:szCs w:val="20"/>
          <w:lang w:val="en-US"/>
        </w:rPr>
        <w:t xml:space="preserve">ие L-оболочки, следует отметить, что не удавалось обнаружить однозначных признаков увеличения потоков энергичных протонов. Ряд факторов мог повлиять на неудачи предыдущих исследований. В частности, инжектированные протоны и электроны дрейфуют в противополо</w:t>
      </w:r>
      <w:r>
        <w:rPr>
          <w:sz w:val="20"/>
          <w:szCs w:val="20"/>
          <w:lang w:val="en-US"/>
        </w:rPr>
        <w:t xml:space="preserve">жных азимутальных направлениях, а </w:t>
      </w:r>
      <w:r>
        <w:rPr>
          <w:sz w:val="20"/>
          <w:szCs w:val="20"/>
          <w:lang w:val="en-US"/>
        </w:rPr>
        <w:t xml:space="preserve">во время главной фазы бури</w:t>
      </w:r>
      <w:r>
        <w:rPr>
          <w:sz w:val="20"/>
          <w:szCs w:val="20"/>
          <w:lang w:val="en-US"/>
        </w:rPr>
        <w:t xml:space="preserve"> протоны кольцевого тока повсюду проникают на низкие высоты. В данной работе анализируются пространственно-временные характеристики увеличения интенсивности потоков протонов на ранней стадии м</w:t>
      </w:r>
      <w:r>
        <w:rPr>
          <w:sz w:val="20"/>
          <w:szCs w:val="20"/>
          <w:lang w:val="en-US"/>
        </w:rPr>
        <w:t xml:space="preserve">агнитной бури в мае 2024 года, когда также наблюдалось </w:t>
      </w:r>
      <w:r>
        <w:rPr>
          <w:sz w:val="20"/>
          <w:szCs w:val="20"/>
          <w:lang w:val="en-US"/>
        </w:rPr>
        <w:t xml:space="preserve">F</w:t>
      </w:r>
      <w:r>
        <w:rPr>
          <w:sz w:val="20"/>
          <w:szCs w:val="20"/>
          <w:lang w:val="en-US"/>
        </w:rPr>
        <w:t xml:space="preserve">E</w:t>
      </w:r>
      <w:r>
        <w:rPr>
          <w:sz w:val="20"/>
          <w:szCs w:val="20"/>
          <w:lang w:val="en-US"/>
        </w:rPr>
        <w:t xml:space="preserve">E</w:t>
      </w:r>
      <w:r>
        <w:rPr>
          <w:sz w:val="20"/>
          <w:szCs w:val="20"/>
          <w:lang w:val="en-US"/>
        </w:rPr>
        <w:t xml:space="preserve">. Мы обнаружили доказательства инжекции протонов</w:t>
      </w:r>
      <w:r>
        <w:rPr>
          <w:sz w:val="20"/>
          <w:szCs w:val="20"/>
          <w:lang w:val="en-US"/>
        </w:rPr>
        <w:t xml:space="preserve"> </w:t>
      </w:r>
      <w:r>
        <w:rPr>
          <w:sz w:val="20"/>
          <w:szCs w:val="20"/>
          <w:lang w:val="en-US"/>
        </w:rPr>
        <w:t xml:space="preserve">в этом событии, подтверждающие механизм электрического дрейфа</w:t>
      </w:r>
      <w:r>
        <w:rPr>
          <w:sz w:val="20"/>
          <w:szCs w:val="20"/>
          <w:lang w:val="en-US"/>
        </w:rPr>
        <w:t xml:space="preserve">.</w:t>
      </w:r>
      <w:r>
        <w:rPr>
          <w:sz w:val="20"/>
          <w:szCs w:val="20"/>
          <w:lang w:val="en-US"/>
          <w14:ligatures w14:val="none"/>
        </w:rPr>
      </w:r>
      <w:r>
        <w:rPr>
          <w:sz w:val="20"/>
          <w:szCs w:val="20"/>
          <w:lang w:val="en-US"/>
          <w14:ligatures w14:val="none"/>
        </w:rPr>
      </w:r>
    </w:p>
    <w:sectPr>
      <w:footnotePr/>
      <w:endnotePr/>
      <w:type w:val="nextPage"/>
      <w:pgSz w:w="11907" w:h="16840" w:orient="portrait"/>
      <w:pgMar w:top="1701" w:right="851" w:bottom="1134" w:left="1701"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MingLiU">
    <w:panose1 w:val="02020603020101020101"/>
  </w:font>
  <w:font w:name="Abyssinica SIL">
    <w:panose1 w:val="020006030200000200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US" w:eastAsia="zh-TW"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58">
    <w:name w:val="Heading 1"/>
    <w:basedOn w:val="836"/>
    <w:next w:val="836"/>
    <w:link w:val="659"/>
    <w:uiPriority w:val="9"/>
    <w:qFormat/>
    <w:pPr>
      <w:keepLines/>
      <w:keepNext/>
      <w:spacing w:before="480" w:after="200"/>
      <w:outlineLvl w:val="0"/>
    </w:pPr>
    <w:rPr>
      <w:rFonts w:ascii="Arial" w:hAnsi="Arial" w:eastAsia="Arial" w:cs="Arial"/>
      <w:sz w:val="40"/>
      <w:szCs w:val="40"/>
    </w:rPr>
  </w:style>
  <w:style w:type="character" w:styleId="659">
    <w:name w:val="Heading 1 Char"/>
    <w:basedOn w:val="837"/>
    <w:link w:val="658"/>
    <w:uiPriority w:val="9"/>
    <w:rPr>
      <w:rFonts w:ascii="Arial" w:hAnsi="Arial" w:eastAsia="Arial" w:cs="Arial"/>
      <w:sz w:val="40"/>
      <w:szCs w:val="40"/>
    </w:rPr>
  </w:style>
  <w:style w:type="paragraph" w:styleId="660">
    <w:name w:val="Heading 2"/>
    <w:basedOn w:val="836"/>
    <w:next w:val="836"/>
    <w:link w:val="661"/>
    <w:uiPriority w:val="9"/>
    <w:unhideWhenUsed/>
    <w:qFormat/>
    <w:pPr>
      <w:keepLines/>
      <w:keepNext/>
      <w:spacing w:before="360" w:after="200"/>
      <w:outlineLvl w:val="1"/>
    </w:pPr>
    <w:rPr>
      <w:rFonts w:ascii="Arial" w:hAnsi="Arial" w:eastAsia="Arial" w:cs="Arial"/>
      <w:sz w:val="34"/>
    </w:rPr>
  </w:style>
  <w:style w:type="character" w:styleId="661">
    <w:name w:val="Heading 2 Char"/>
    <w:basedOn w:val="837"/>
    <w:link w:val="660"/>
    <w:uiPriority w:val="9"/>
    <w:rPr>
      <w:rFonts w:ascii="Arial" w:hAnsi="Arial" w:eastAsia="Arial" w:cs="Arial"/>
      <w:sz w:val="34"/>
    </w:rPr>
  </w:style>
  <w:style w:type="paragraph" w:styleId="662">
    <w:name w:val="Heading 3"/>
    <w:basedOn w:val="836"/>
    <w:next w:val="836"/>
    <w:link w:val="663"/>
    <w:uiPriority w:val="9"/>
    <w:unhideWhenUsed/>
    <w:qFormat/>
    <w:pPr>
      <w:keepLines/>
      <w:keepNext/>
      <w:spacing w:before="320" w:after="200"/>
      <w:outlineLvl w:val="2"/>
    </w:pPr>
    <w:rPr>
      <w:rFonts w:ascii="Arial" w:hAnsi="Arial" w:eastAsia="Arial" w:cs="Arial"/>
      <w:sz w:val="30"/>
      <w:szCs w:val="30"/>
    </w:rPr>
  </w:style>
  <w:style w:type="character" w:styleId="663">
    <w:name w:val="Heading 3 Char"/>
    <w:basedOn w:val="837"/>
    <w:link w:val="662"/>
    <w:uiPriority w:val="9"/>
    <w:rPr>
      <w:rFonts w:ascii="Arial" w:hAnsi="Arial" w:eastAsia="Arial" w:cs="Arial"/>
      <w:sz w:val="30"/>
      <w:szCs w:val="30"/>
    </w:rPr>
  </w:style>
  <w:style w:type="paragraph" w:styleId="664">
    <w:name w:val="Heading 4"/>
    <w:basedOn w:val="836"/>
    <w:next w:val="836"/>
    <w:link w:val="665"/>
    <w:uiPriority w:val="9"/>
    <w:unhideWhenUsed/>
    <w:qFormat/>
    <w:pPr>
      <w:keepLines/>
      <w:keepNext/>
      <w:spacing w:before="320" w:after="200"/>
      <w:outlineLvl w:val="3"/>
    </w:pPr>
    <w:rPr>
      <w:rFonts w:ascii="Arial" w:hAnsi="Arial" w:eastAsia="Arial" w:cs="Arial"/>
      <w:b/>
      <w:bCs/>
      <w:sz w:val="26"/>
      <w:szCs w:val="26"/>
    </w:rPr>
  </w:style>
  <w:style w:type="character" w:styleId="665">
    <w:name w:val="Heading 4 Char"/>
    <w:basedOn w:val="837"/>
    <w:link w:val="664"/>
    <w:uiPriority w:val="9"/>
    <w:rPr>
      <w:rFonts w:ascii="Arial" w:hAnsi="Arial" w:eastAsia="Arial" w:cs="Arial"/>
      <w:b/>
      <w:bCs/>
      <w:sz w:val="26"/>
      <w:szCs w:val="26"/>
    </w:rPr>
  </w:style>
  <w:style w:type="paragraph" w:styleId="666">
    <w:name w:val="Heading 5"/>
    <w:basedOn w:val="836"/>
    <w:next w:val="836"/>
    <w:link w:val="667"/>
    <w:uiPriority w:val="9"/>
    <w:unhideWhenUsed/>
    <w:qFormat/>
    <w:pPr>
      <w:keepLines/>
      <w:keepNext/>
      <w:spacing w:before="320" w:after="200"/>
      <w:outlineLvl w:val="4"/>
    </w:pPr>
    <w:rPr>
      <w:rFonts w:ascii="Arial" w:hAnsi="Arial" w:eastAsia="Arial" w:cs="Arial"/>
      <w:b/>
      <w:bCs/>
      <w:sz w:val="24"/>
      <w:szCs w:val="24"/>
    </w:rPr>
  </w:style>
  <w:style w:type="character" w:styleId="667">
    <w:name w:val="Heading 5 Char"/>
    <w:basedOn w:val="837"/>
    <w:link w:val="666"/>
    <w:uiPriority w:val="9"/>
    <w:rPr>
      <w:rFonts w:ascii="Arial" w:hAnsi="Arial" w:eastAsia="Arial" w:cs="Arial"/>
      <w:b/>
      <w:bCs/>
      <w:sz w:val="24"/>
      <w:szCs w:val="24"/>
    </w:rPr>
  </w:style>
  <w:style w:type="paragraph" w:styleId="668">
    <w:name w:val="Heading 6"/>
    <w:basedOn w:val="836"/>
    <w:next w:val="836"/>
    <w:link w:val="669"/>
    <w:uiPriority w:val="9"/>
    <w:unhideWhenUsed/>
    <w:qFormat/>
    <w:pPr>
      <w:keepLines/>
      <w:keepNext/>
      <w:spacing w:before="320" w:after="200"/>
      <w:outlineLvl w:val="5"/>
    </w:pPr>
    <w:rPr>
      <w:rFonts w:ascii="Arial" w:hAnsi="Arial" w:eastAsia="Arial" w:cs="Arial"/>
      <w:b/>
      <w:bCs/>
      <w:sz w:val="22"/>
      <w:szCs w:val="22"/>
    </w:rPr>
  </w:style>
  <w:style w:type="character" w:styleId="669">
    <w:name w:val="Heading 6 Char"/>
    <w:basedOn w:val="837"/>
    <w:link w:val="668"/>
    <w:uiPriority w:val="9"/>
    <w:rPr>
      <w:rFonts w:ascii="Arial" w:hAnsi="Arial" w:eastAsia="Arial" w:cs="Arial"/>
      <w:b/>
      <w:bCs/>
      <w:sz w:val="22"/>
      <w:szCs w:val="22"/>
    </w:rPr>
  </w:style>
  <w:style w:type="paragraph" w:styleId="670">
    <w:name w:val="Heading 7"/>
    <w:basedOn w:val="836"/>
    <w:next w:val="836"/>
    <w:link w:val="671"/>
    <w:uiPriority w:val="9"/>
    <w:unhideWhenUsed/>
    <w:qFormat/>
    <w:pPr>
      <w:keepLines/>
      <w:keepNext/>
      <w:spacing w:before="320" w:after="200"/>
      <w:outlineLvl w:val="6"/>
    </w:pPr>
    <w:rPr>
      <w:rFonts w:ascii="Arial" w:hAnsi="Arial" w:eastAsia="Arial" w:cs="Arial"/>
      <w:b/>
      <w:bCs/>
      <w:i/>
      <w:iCs/>
      <w:sz w:val="22"/>
      <w:szCs w:val="22"/>
    </w:rPr>
  </w:style>
  <w:style w:type="character" w:styleId="671">
    <w:name w:val="Heading 7 Char"/>
    <w:basedOn w:val="837"/>
    <w:link w:val="670"/>
    <w:uiPriority w:val="9"/>
    <w:rPr>
      <w:rFonts w:ascii="Arial" w:hAnsi="Arial" w:eastAsia="Arial" w:cs="Arial"/>
      <w:b/>
      <w:bCs/>
      <w:i/>
      <w:iCs/>
      <w:sz w:val="22"/>
      <w:szCs w:val="22"/>
    </w:rPr>
  </w:style>
  <w:style w:type="paragraph" w:styleId="672">
    <w:name w:val="Heading 8"/>
    <w:basedOn w:val="836"/>
    <w:next w:val="836"/>
    <w:link w:val="673"/>
    <w:uiPriority w:val="9"/>
    <w:unhideWhenUsed/>
    <w:qFormat/>
    <w:pPr>
      <w:keepLines/>
      <w:keepNext/>
      <w:spacing w:before="320" w:after="200"/>
      <w:outlineLvl w:val="7"/>
    </w:pPr>
    <w:rPr>
      <w:rFonts w:ascii="Arial" w:hAnsi="Arial" w:eastAsia="Arial" w:cs="Arial"/>
      <w:i/>
      <w:iCs/>
      <w:sz w:val="22"/>
      <w:szCs w:val="22"/>
    </w:rPr>
  </w:style>
  <w:style w:type="character" w:styleId="673">
    <w:name w:val="Heading 8 Char"/>
    <w:basedOn w:val="837"/>
    <w:link w:val="672"/>
    <w:uiPriority w:val="9"/>
    <w:rPr>
      <w:rFonts w:ascii="Arial" w:hAnsi="Arial" w:eastAsia="Arial" w:cs="Arial"/>
      <w:i/>
      <w:iCs/>
      <w:sz w:val="22"/>
      <w:szCs w:val="22"/>
    </w:rPr>
  </w:style>
  <w:style w:type="paragraph" w:styleId="674">
    <w:name w:val="Heading 9"/>
    <w:basedOn w:val="836"/>
    <w:next w:val="836"/>
    <w:link w:val="675"/>
    <w:uiPriority w:val="9"/>
    <w:unhideWhenUsed/>
    <w:qFormat/>
    <w:pPr>
      <w:keepLines/>
      <w:keepNext/>
      <w:spacing w:before="320" w:after="200"/>
      <w:outlineLvl w:val="8"/>
    </w:pPr>
    <w:rPr>
      <w:rFonts w:ascii="Arial" w:hAnsi="Arial" w:eastAsia="Arial" w:cs="Arial"/>
      <w:i/>
      <w:iCs/>
      <w:sz w:val="21"/>
      <w:szCs w:val="21"/>
    </w:rPr>
  </w:style>
  <w:style w:type="character" w:styleId="675">
    <w:name w:val="Heading 9 Char"/>
    <w:basedOn w:val="837"/>
    <w:link w:val="674"/>
    <w:uiPriority w:val="9"/>
    <w:rPr>
      <w:rFonts w:ascii="Arial" w:hAnsi="Arial" w:eastAsia="Arial" w:cs="Arial"/>
      <w:i/>
      <w:iCs/>
      <w:sz w:val="21"/>
      <w:szCs w:val="21"/>
    </w:rPr>
  </w:style>
  <w:style w:type="paragraph" w:styleId="676">
    <w:name w:val="List Paragraph"/>
    <w:basedOn w:val="836"/>
    <w:uiPriority w:val="34"/>
    <w:qFormat/>
    <w:pPr>
      <w:contextualSpacing/>
      <w:ind w:left="720"/>
    </w:pPr>
  </w:style>
  <w:style w:type="paragraph" w:styleId="677">
    <w:name w:val="No Spacing"/>
    <w:uiPriority w:val="1"/>
    <w:qFormat/>
    <w:pPr>
      <w:spacing w:before="0" w:after="0" w:line="240" w:lineRule="auto"/>
    </w:pPr>
  </w:style>
  <w:style w:type="paragraph" w:styleId="678">
    <w:name w:val="Title"/>
    <w:basedOn w:val="836"/>
    <w:next w:val="836"/>
    <w:link w:val="679"/>
    <w:uiPriority w:val="10"/>
    <w:qFormat/>
    <w:pPr>
      <w:contextualSpacing/>
      <w:spacing w:before="300" w:after="200"/>
    </w:pPr>
    <w:rPr>
      <w:sz w:val="48"/>
      <w:szCs w:val="48"/>
    </w:rPr>
  </w:style>
  <w:style w:type="character" w:styleId="679">
    <w:name w:val="Title Char"/>
    <w:basedOn w:val="837"/>
    <w:link w:val="678"/>
    <w:uiPriority w:val="10"/>
    <w:rPr>
      <w:sz w:val="48"/>
      <w:szCs w:val="48"/>
    </w:rPr>
  </w:style>
  <w:style w:type="paragraph" w:styleId="680">
    <w:name w:val="Subtitle"/>
    <w:basedOn w:val="836"/>
    <w:next w:val="836"/>
    <w:link w:val="681"/>
    <w:uiPriority w:val="11"/>
    <w:qFormat/>
    <w:pPr>
      <w:spacing w:before="200" w:after="200"/>
    </w:pPr>
    <w:rPr>
      <w:sz w:val="24"/>
      <w:szCs w:val="24"/>
    </w:rPr>
  </w:style>
  <w:style w:type="character" w:styleId="681">
    <w:name w:val="Subtitle Char"/>
    <w:basedOn w:val="837"/>
    <w:link w:val="680"/>
    <w:uiPriority w:val="11"/>
    <w:rPr>
      <w:sz w:val="24"/>
      <w:szCs w:val="24"/>
    </w:rPr>
  </w:style>
  <w:style w:type="paragraph" w:styleId="682">
    <w:name w:val="Quote"/>
    <w:basedOn w:val="836"/>
    <w:next w:val="836"/>
    <w:link w:val="683"/>
    <w:uiPriority w:val="29"/>
    <w:qFormat/>
    <w:pPr>
      <w:ind w:left="720" w:right="720"/>
    </w:pPr>
    <w:rPr>
      <w:i/>
    </w:rPr>
  </w:style>
  <w:style w:type="character" w:styleId="683">
    <w:name w:val="Quote Char"/>
    <w:link w:val="682"/>
    <w:uiPriority w:val="29"/>
    <w:rPr>
      <w:i/>
    </w:rPr>
  </w:style>
  <w:style w:type="paragraph" w:styleId="684">
    <w:name w:val="Intense Quote"/>
    <w:basedOn w:val="836"/>
    <w:next w:val="836"/>
    <w:link w:val="685"/>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85">
    <w:name w:val="Intense Quote Char"/>
    <w:link w:val="684"/>
    <w:uiPriority w:val="30"/>
    <w:rPr>
      <w:i/>
    </w:rPr>
  </w:style>
  <w:style w:type="paragraph" w:styleId="686">
    <w:name w:val="Header"/>
    <w:basedOn w:val="836"/>
    <w:link w:val="687"/>
    <w:uiPriority w:val="99"/>
    <w:unhideWhenUsed/>
    <w:pPr>
      <w:spacing w:after="0" w:line="240" w:lineRule="auto"/>
      <w:tabs>
        <w:tab w:val="center" w:pos="7143" w:leader="none"/>
        <w:tab w:val="right" w:pos="14287" w:leader="none"/>
      </w:tabs>
    </w:pPr>
  </w:style>
  <w:style w:type="character" w:styleId="687">
    <w:name w:val="Header Char"/>
    <w:basedOn w:val="837"/>
    <w:link w:val="686"/>
    <w:uiPriority w:val="99"/>
  </w:style>
  <w:style w:type="paragraph" w:styleId="688">
    <w:name w:val="Footer"/>
    <w:basedOn w:val="836"/>
    <w:link w:val="691"/>
    <w:uiPriority w:val="99"/>
    <w:unhideWhenUsed/>
    <w:pPr>
      <w:spacing w:after="0" w:line="240" w:lineRule="auto"/>
      <w:tabs>
        <w:tab w:val="center" w:pos="7143" w:leader="none"/>
        <w:tab w:val="right" w:pos="14287" w:leader="none"/>
      </w:tabs>
    </w:pPr>
  </w:style>
  <w:style w:type="character" w:styleId="689">
    <w:name w:val="Footer Char"/>
    <w:basedOn w:val="837"/>
    <w:link w:val="688"/>
    <w:uiPriority w:val="99"/>
  </w:style>
  <w:style w:type="paragraph" w:styleId="690">
    <w:name w:val="Caption"/>
    <w:basedOn w:val="836"/>
    <w:next w:val="836"/>
    <w:uiPriority w:val="35"/>
    <w:semiHidden/>
    <w:unhideWhenUsed/>
    <w:qFormat/>
    <w:pPr>
      <w:spacing w:line="276" w:lineRule="auto"/>
    </w:pPr>
    <w:rPr>
      <w:b/>
      <w:bCs/>
      <w:color w:val="4f81bd" w:themeColor="accent1"/>
      <w:sz w:val="18"/>
      <w:szCs w:val="18"/>
    </w:rPr>
  </w:style>
  <w:style w:type="character" w:styleId="691">
    <w:name w:val="Caption Char"/>
    <w:basedOn w:val="690"/>
    <w:link w:val="688"/>
    <w:uiPriority w:val="99"/>
  </w:style>
  <w:style w:type="table" w:styleId="692">
    <w:name w:val="Table Grid"/>
    <w:basedOn w:val="83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93">
    <w:name w:val="Table Grid Light"/>
    <w:basedOn w:val="83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94">
    <w:name w:val="Plain Table 1"/>
    <w:basedOn w:val="83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95">
    <w:name w:val="Plain Table 2"/>
    <w:basedOn w:val="83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96">
    <w:name w:val="Plain Table 3"/>
    <w:basedOn w:val="83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97">
    <w:name w:val="Plain Table 4"/>
    <w:basedOn w:val="83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98">
    <w:name w:val="Plain Table 5"/>
    <w:basedOn w:val="83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99">
    <w:name w:val="Grid Table 1 Light"/>
    <w:basedOn w:val="83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0">
    <w:name w:val="Grid Table 1 Light - Accent 1"/>
    <w:basedOn w:val="83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1">
    <w:name w:val="Grid Table 1 Light - Accent 2"/>
    <w:basedOn w:val="83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02">
    <w:name w:val="Grid Table 1 Light - Accent 3"/>
    <w:basedOn w:val="83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03">
    <w:name w:val="Grid Table 1 Light - Accent 4"/>
    <w:basedOn w:val="83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04">
    <w:name w:val="Grid Table 1 Light - Accent 5"/>
    <w:basedOn w:val="83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05">
    <w:name w:val="Grid Table 1 Light - Accent 6"/>
    <w:basedOn w:val="83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06">
    <w:name w:val="Grid Table 2"/>
    <w:basedOn w:val="83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07">
    <w:name w:val="Grid Table 2 - Accent 1"/>
    <w:basedOn w:val="83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08">
    <w:name w:val="Grid Table 2 - Accent 2"/>
    <w:basedOn w:val="83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09">
    <w:name w:val="Grid Table 2 - Accent 3"/>
    <w:basedOn w:val="83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0">
    <w:name w:val="Grid Table 2 - Accent 4"/>
    <w:basedOn w:val="83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1">
    <w:name w:val="Grid Table 2 - Accent 5"/>
    <w:basedOn w:val="83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12">
    <w:name w:val="Grid Table 2 - Accent 6"/>
    <w:basedOn w:val="83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13">
    <w:name w:val="Grid Table 3"/>
    <w:basedOn w:val="83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4">
    <w:name w:val="Grid Table 3 - Accent 1"/>
    <w:basedOn w:val="83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5">
    <w:name w:val="Grid Table 3 - Accent 2"/>
    <w:basedOn w:val="83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6">
    <w:name w:val="Grid Table 3 - Accent 3"/>
    <w:basedOn w:val="83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7">
    <w:name w:val="Grid Table 3 - Accent 4"/>
    <w:basedOn w:val="83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8">
    <w:name w:val="Grid Table 3 - Accent 5"/>
    <w:basedOn w:val="83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9">
    <w:name w:val="Grid Table 3 - Accent 6"/>
    <w:basedOn w:val="83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0">
    <w:name w:val="Grid Table 4"/>
    <w:basedOn w:val="83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1">
    <w:name w:val="Grid Table 4 - Accent 1"/>
    <w:basedOn w:val="83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22">
    <w:name w:val="Grid Table 4 - Accent 2"/>
    <w:basedOn w:val="83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23">
    <w:name w:val="Grid Table 4 - Accent 3"/>
    <w:basedOn w:val="83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24">
    <w:name w:val="Grid Table 4 - Accent 4"/>
    <w:basedOn w:val="83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25">
    <w:name w:val="Grid Table 4 - Accent 5"/>
    <w:basedOn w:val="83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26">
    <w:name w:val="Grid Table 4 - Accent 6"/>
    <w:basedOn w:val="83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27">
    <w:name w:val="Grid Table 5 Dark"/>
    <w:basedOn w:val="83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28">
    <w:name w:val="Grid Table 5 Dark- Accent 1"/>
    <w:basedOn w:val="83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29">
    <w:name w:val="Grid Table 5 Dark - Accent 2"/>
    <w:basedOn w:val="83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0">
    <w:name w:val="Grid Table 5 Dark - Accent 3"/>
    <w:basedOn w:val="83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1">
    <w:name w:val="Grid Table 5 Dark- Accent 4"/>
    <w:basedOn w:val="83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32">
    <w:name w:val="Grid Table 5 Dark - Accent 5"/>
    <w:basedOn w:val="83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33">
    <w:name w:val="Grid Table 5 Dark - Accent 6"/>
    <w:basedOn w:val="83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34">
    <w:name w:val="Grid Table 6 Colorful"/>
    <w:basedOn w:val="83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35">
    <w:name w:val="Grid Table 6 Colorful - Accent 1"/>
    <w:basedOn w:val="83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36">
    <w:name w:val="Grid Table 6 Colorful - Accent 2"/>
    <w:basedOn w:val="83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37">
    <w:name w:val="Grid Table 6 Colorful - Accent 3"/>
    <w:basedOn w:val="83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38">
    <w:name w:val="Grid Table 6 Colorful - Accent 4"/>
    <w:basedOn w:val="83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39">
    <w:name w:val="Grid Table 6 Colorful - Accent 5"/>
    <w:basedOn w:val="83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0">
    <w:name w:val="Grid Table 6 Colorful - Accent 6"/>
    <w:basedOn w:val="83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1">
    <w:name w:val="Grid Table 7 Colorful"/>
    <w:basedOn w:val="83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42">
    <w:name w:val="Grid Table 7 Colorful - Accent 1"/>
    <w:basedOn w:val="83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43">
    <w:name w:val="Grid Table 7 Colorful - Accent 2"/>
    <w:basedOn w:val="83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44">
    <w:name w:val="Grid Table 7 Colorful - Accent 3"/>
    <w:basedOn w:val="83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45">
    <w:name w:val="Grid Table 7 Colorful - Accent 4"/>
    <w:basedOn w:val="83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46">
    <w:name w:val="Grid Table 7 Colorful - Accent 5"/>
    <w:basedOn w:val="83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47">
    <w:name w:val="Grid Table 7 Colorful - Accent 6"/>
    <w:basedOn w:val="83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48">
    <w:name w:val="List Table 1 Light"/>
    <w:basedOn w:val="83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49">
    <w:name w:val="List Table 1 Light - Accent 1"/>
    <w:basedOn w:val="838"/>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0">
    <w:name w:val="List Table 1 Light - Accent 2"/>
    <w:basedOn w:val="838"/>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1">
    <w:name w:val="List Table 1 Light - Accent 3"/>
    <w:basedOn w:val="838"/>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52">
    <w:name w:val="List Table 1 Light - Accent 4"/>
    <w:basedOn w:val="838"/>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53">
    <w:name w:val="List Table 1 Light - Accent 5"/>
    <w:basedOn w:val="838"/>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54">
    <w:name w:val="List Table 1 Light - Accent 6"/>
    <w:basedOn w:val="838"/>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55">
    <w:name w:val="List Table 2"/>
    <w:basedOn w:val="83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56">
    <w:name w:val="List Table 2 - Accent 1"/>
    <w:basedOn w:val="83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57">
    <w:name w:val="List Table 2 - Accent 2"/>
    <w:basedOn w:val="83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58">
    <w:name w:val="List Table 2 - Accent 3"/>
    <w:basedOn w:val="83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59">
    <w:name w:val="List Table 2 - Accent 4"/>
    <w:basedOn w:val="83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0">
    <w:name w:val="List Table 2 - Accent 5"/>
    <w:basedOn w:val="83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1">
    <w:name w:val="List Table 2 - Accent 6"/>
    <w:basedOn w:val="83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62">
    <w:name w:val="List Table 3"/>
    <w:basedOn w:val="83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3">
    <w:name w:val="List Table 3 - Accent 1"/>
    <w:basedOn w:val="83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64">
    <w:name w:val="List Table 3 - Accent 2"/>
    <w:basedOn w:val="83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65">
    <w:name w:val="List Table 3 - Accent 3"/>
    <w:basedOn w:val="83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66">
    <w:name w:val="List Table 3 - Accent 4"/>
    <w:basedOn w:val="83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67">
    <w:name w:val="List Table 3 - Accent 5"/>
    <w:basedOn w:val="83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68">
    <w:name w:val="List Table 3 - Accent 6"/>
    <w:basedOn w:val="83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69">
    <w:name w:val="List Table 4"/>
    <w:basedOn w:val="83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0">
    <w:name w:val="List Table 4 - Accent 1"/>
    <w:basedOn w:val="83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1">
    <w:name w:val="List Table 4 - Accent 2"/>
    <w:basedOn w:val="83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72">
    <w:name w:val="List Table 4 - Accent 3"/>
    <w:basedOn w:val="83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73">
    <w:name w:val="List Table 4 - Accent 4"/>
    <w:basedOn w:val="83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74">
    <w:name w:val="List Table 4 - Accent 5"/>
    <w:basedOn w:val="83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75">
    <w:name w:val="List Table 4 - Accent 6"/>
    <w:basedOn w:val="83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76">
    <w:name w:val="List Table 5 Dark"/>
    <w:basedOn w:val="83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7">
    <w:name w:val="List Table 5 Dark - Accent 1"/>
    <w:basedOn w:val="83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8">
    <w:name w:val="List Table 5 Dark - Accent 2"/>
    <w:basedOn w:val="83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9">
    <w:name w:val="List Table 5 Dark - Accent 3"/>
    <w:basedOn w:val="83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0">
    <w:name w:val="List Table 5 Dark - Accent 4"/>
    <w:basedOn w:val="83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1">
    <w:name w:val="List Table 5 Dark - Accent 5"/>
    <w:basedOn w:val="83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2">
    <w:name w:val="List Table 5 Dark - Accent 6"/>
    <w:basedOn w:val="83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3">
    <w:name w:val="List Table 6 Colorful"/>
    <w:basedOn w:val="83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84">
    <w:name w:val="List Table 6 Colorful - Accent 1"/>
    <w:basedOn w:val="83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85">
    <w:name w:val="List Table 6 Colorful - Accent 2"/>
    <w:basedOn w:val="83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86">
    <w:name w:val="List Table 6 Colorful - Accent 3"/>
    <w:basedOn w:val="83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87">
    <w:name w:val="List Table 6 Colorful - Accent 4"/>
    <w:basedOn w:val="83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88">
    <w:name w:val="List Table 6 Colorful - Accent 5"/>
    <w:basedOn w:val="83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89">
    <w:name w:val="List Table 6 Colorful - Accent 6"/>
    <w:basedOn w:val="83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0">
    <w:name w:val="List Table 7 Colorful"/>
    <w:basedOn w:val="83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1">
    <w:name w:val="List Table 7 Colorful - Accent 1"/>
    <w:basedOn w:val="83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792">
    <w:name w:val="List Table 7 Colorful - Accent 2"/>
    <w:basedOn w:val="83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793">
    <w:name w:val="List Table 7 Colorful - Accent 3"/>
    <w:basedOn w:val="83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794">
    <w:name w:val="List Table 7 Colorful - Accent 4"/>
    <w:basedOn w:val="83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795">
    <w:name w:val="List Table 7 Colorful - Accent 5"/>
    <w:basedOn w:val="83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796">
    <w:name w:val="List Table 7 Colorful - Accent 6"/>
    <w:basedOn w:val="83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797">
    <w:name w:val="Lined - Accent"/>
    <w:basedOn w:val="83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98">
    <w:name w:val="Lined - Accent 1"/>
    <w:basedOn w:val="83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799">
    <w:name w:val="Lined - Accent 2"/>
    <w:basedOn w:val="83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0">
    <w:name w:val="Lined - Accent 3"/>
    <w:basedOn w:val="83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1">
    <w:name w:val="Lined - Accent 4"/>
    <w:basedOn w:val="83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02">
    <w:name w:val="Lined - Accent 5"/>
    <w:basedOn w:val="83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03">
    <w:name w:val="Lined - Accent 6"/>
    <w:basedOn w:val="83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04">
    <w:name w:val="Bordered &amp; Lined - Accent"/>
    <w:basedOn w:val="83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5">
    <w:name w:val="Bordered &amp; Lined - Accent 1"/>
    <w:basedOn w:val="83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6">
    <w:name w:val="Bordered &amp; Lined - Accent 2"/>
    <w:basedOn w:val="83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7">
    <w:name w:val="Bordered &amp; Lined - Accent 3"/>
    <w:basedOn w:val="83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8">
    <w:name w:val="Bordered &amp; Lined - Accent 4"/>
    <w:basedOn w:val="83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09">
    <w:name w:val="Bordered &amp; Lined - Accent 5"/>
    <w:basedOn w:val="83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0">
    <w:name w:val="Bordered &amp; Lined - Accent 6"/>
    <w:basedOn w:val="83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1">
    <w:name w:val="Bordered"/>
    <w:basedOn w:val="83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12">
    <w:name w:val="Bordered - Accent 1"/>
    <w:basedOn w:val="83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13">
    <w:name w:val="Bordered - Accent 2"/>
    <w:basedOn w:val="83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14">
    <w:name w:val="Bordered - Accent 3"/>
    <w:basedOn w:val="83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15">
    <w:name w:val="Bordered - Accent 4"/>
    <w:basedOn w:val="83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16">
    <w:name w:val="Bordered - Accent 5"/>
    <w:basedOn w:val="83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17">
    <w:name w:val="Bordered - Accent 6"/>
    <w:basedOn w:val="83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18">
    <w:name w:val="Hyperlink"/>
    <w:uiPriority w:val="99"/>
    <w:unhideWhenUsed/>
    <w:rPr>
      <w:color w:val="0000ff" w:themeColor="hyperlink"/>
      <w:u w:val="single"/>
    </w:rPr>
  </w:style>
  <w:style w:type="paragraph" w:styleId="819">
    <w:name w:val="footnote text"/>
    <w:basedOn w:val="836"/>
    <w:link w:val="820"/>
    <w:uiPriority w:val="99"/>
    <w:semiHidden/>
    <w:unhideWhenUsed/>
    <w:pPr>
      <w:spacing w:after="40" w:line="240" w:lineRule="auto"/>
    </w:pPr>
    <w:rPr>
      <w:sz w:val="18"/>
    </w:rPr>
  </w:style>
  <w:style w:type="character" w:styleId="820">
    <w:name w:val="Footnote Text Char"/>
    <w:link w:val="819"/>
    <w:uiPriority w:val="99"/>
    <w:rPr>
      <w:sz w:val="18"/>
    </w:rPr>
  </w:style>
  <w:style w:type="character" w:styleId="821">
    <w:name w:val="footnote reference"/>
    <w:basedOn w:val="837"/>
    <w:uiPriority w:val="99"/>
    <w:unhideWhenUsed/>
    <w:rPr>
      <w:vertAlign w:val="superscript"/>
    </w:rPr>
  </w:style>
  <w:style w:type="paragraph" w:styleId="822">
    <w:name w:val="endnote text"/>
    <w:basedOn w:val="836"/>
    <w:link w:val="823"/>
    <w:uiPriority w:val="99"/>
    <w:semiHidden/>
    <w:unhideWhenUsed/>
    <w:pPr>
      <w:spacing w:after="0" w:line="240" w:lineRule="auto"/>
    </w:pPr>
    <w:rPr>
      <w:sz w:val="20"/>
    </w:rPr>
  </w:style>
  <w:style w:type="character" w:styleId="823">
    <w:name w:val="Endnote Text Char"/>
    <w:link w:val="822"/>
    <w:uiPriority w:val="99"/>
    <w:rPr>
      <w:sz w:val="20"/>
    </w:rPr>
  </w:style>
  <w:style w:type="character" w:styleId="824">
    <w:name w:val="endnote reference"/>
    <w:basedOn w:val="837"/>
    <w:uiPriority w:val="99"/>
    <w:semiHidden/>
    <w:unhideWhenUsed/>
    <w:rPr>
      <w:vertAlign w:val="superscript"/>
    </w:rPr>
  </w:style>
  <w:style w:type="paragraph" w:styleId="825">
    <w:name w:val="toc 1"/>
    <w:basedOn w:val="836"/>
    <w:next w:val="836"/>
    <w:uiPriority w:val="39"/>
    <w:unhideWhenUsed/>
    <w:pPr>
      <w:ind w:left="0" w:right="0" w:firstLine="0"/>
      <w:spacing w:after="57"/>
    </w:pPr>
  </w:style>
  <w:style w:type="paragraph" w:styleId="826">
    <w:name w:val="toc 2"/>
    <w:basedOn w:val="836"/>
    <w:next w:val="836"/>
    <w:uiPriority w:val="39"/>
    <w:unhideWhenUsed/>
    <w:pPr>
      <w:ind w:left="283" w:right="0" w:firstLine="0"/>
      <w:spacing w:after="57"/>
    </w:pPr>
  </w:style>
  <w:style w:type="paragraph" w:styleId="827">
    <w:name w:val="toc 3"/>
    <w:basedOn w:val="836"/>
    <w:next w:val="836"/>
    <w:uiPriority w:val="39"/>
    <w:unhideWhenUsed/>
    <w:pPr>
      <w:ind w:left="567" w:right="0" w:firstLine="0"/>
      <w:spacing w:after="57"/>
    </w:pPr>
  </w:style>
  <w:style w:type="paragraph" w:styleId="828">
    <w:name w:val="toc 4"/>
    <w:basedOn w:val="836"/>
    <w:next w:val="836"/>
    <w:uiPriority w:val="39"/>
    <w:unhideWhenUsed/>
    <w:pPr>
      <w:ind w:left="850" w:right="0" w:firstLine="0"/>
      <w:spacing w:after="57"/>
    </w:pPr>
  </w:style>
  <w:style w:type="paragraph" w:styleId="829">
    <w:name w:val="toc 5"/>
    <w:basedOn w:val="836"/>
    <w:next w:val="836"/>
    <w:uiPriority w:val="39"/>
    <w:unhideWhenUsed/>
    <w:pPr>
      <w:ind w:left="1134" w:right="0" w:firstLine="0"/>
      <w:spacing w:after="57"/>
    </w:pPr>
  </w:style>
  <w:style w:type="paragraph" w:styleId="830">
    <w:name w:val="toc 6"/>
    <w:basedOn w:val="836"/>
    <w:next w:val="836"/>
    <w:uiPriority w:val="39"/>
    <w:unhideWhenUsed/>
    <w:pPr>
      <w:ind w:left="1417" w:right="0" w:firstLine="0"/>
      <w:spacing w:after="57"/>
    </w:pPr>
  </w:style>
  <w:style w:type="paragraph" w:styleId="831">
    <w:name w:val="toc 7"/>
    <w:basedOn w:val="836"/>
    <w:next w:val="836"/>
    <w:uiPriority w:val="39"/>
    <w:unhideWhenUsed/>
    <w:pPr>
      <w:ind w:left="1701" w:right="0" w:firstLine="0"/>
      <w:spacing w:after="57"/>
    </w:pPr>
  </w:style>
  <w:style w:type="paragraph" w:styleId="832">
    <w:name w:val="toc 8"/>
    <w:basedOn w:val="836"/>
    <w:next w:val="836"/>
    <w:uiPriority w:val="39"/>
    <w:unhideWhenUsed/>
    <w:pPr>
      <w:ind w:left="1984" w:right="0" w:firstLine="0"/>
      <w:spacing w:after="57"/>
    </w:pPr>
  </w:style>
  <w:style w:type="paragraph" w:styleId="833">
    <w:name w:val="toc 9"/>
    <w:basedOn w:val="836"/>
    <w:next w:val="836"/>
    <w:uiPriority w:val="39"/>
    <w:unhideWhenUsed/>
    <w:pPr>
      <w:ind w:left="2268" w:right="0" w:firstLine="0"/>
      <w:spacing w:after="57"/>
    </w:pPr>
  </w:style>
  <w:style w:type="paragraph" w:styleId="834">
    <w:name w:val="TOC Heading"/>
    <w:uiPriority w:val="39"/>
    <w:unhideWhenUsed/>
  </w:style>
  <w:style w:type="paragraph" w:styleId="835">
    <w:name w:val="table of figures"/>
    <w:basedOn w:val="836"/>
    <w:next w:val="836"/>
    <w:uiPriority w:val="99"/>
    <w:unhideWhenUsed/>
    <w:pPr>
      <w:spacing w:after="0" w:afterAutospacing="0"/>
    </w:pPr>
  </w:style>
  <w:style w:type="paragraph" w:styleId="836" w:default="1">
    <w:name w:val="Normal"/>
    <w:qFormat/>
    <w:rPr>
      <w:sz w:val="24"/>
      <w:szCs w:val="24"/>
      <w:lang w:val="ru-RU" w:eastAsia="ru-RU"/>
    </w:rPr>
  </w:style>
  <w:style w:type="character" w:styleId="837" w:default="1">
    <w:name w:val="Default Paragraph Font"/>
    <w:uiPriority w:val="1"/>
    <w:semiHidden/>
    <w:unhideWhenUsed/>
  </w:style>
  <w:style w:type="table" w:styleId="838" w:default="1">
    <w:name w:val="Normal Table"/>
    <w:uiPriority w:val="99"/>
    <w:semiHidden/>
    <w:unhideWhenUsed/>
    <w:tblPr>
      <w:tblInd w:w="0" w:type="dxa"/>
      <w:tblCellMar>
        <w:left w:w="108" w:type="dxa"/>
        <w:top w:w="0" w:type="dxa"/>
        <w:right w:w="108" w:type="dxa"/>
        <w:bottom w:w="0" w:type="dxa"/>
      </w:tblCellMar>
    </w:tblPr>
  </w:style>
  <w:style w:type="numbering" w:styleId="839" w:default="1">
    <w:name w:val="No List"/>
    <w:uiPriority w:val="99"/>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70399-C98B-40FC-9B8E-4DD479E6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R7-Office/2024.1.1.375</Application>
  <Company>ИПХФ РАН</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Sailing Slow Solar Winds: New View from the</dc:title>
  <dc:subject/>
  <dc:creator>Куликов</dc:creator>
  <cp:keywords/>
  <cp:lastModifiedBy>Алла Суворова</cp:lastModifiedBy>
  <cp:revision>53</cp:revision>
  <dcterms:created xsi:type="dcterms:W3CDTF">2013-12-18T13:33:00Z</dcterms:created>
  <dcterms:modified xsi:type="dcterms:W3CDTF">2025-09-08T18:12:41Z</dcterms:modified>
</cp:coreProperties>
</file>