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5E28" w14:textId="77777777" w:rsidR="002B4153" w:rsidRPr="00FD3492" w:rsidRDefault="002B4153" w:rsidP="002B4153">
      <w:pPr>
        <w:jc w:val="left"/>
        <w:rPr>
          <w:b/>
          <w:sz w:val="28"/>
          <w:szCs w:val="28"/>
        </w:rPr>
      </w:pPr>
      <w:r w:rsidRPr="00931400">
        <w:rPr>
          <w:b/>
          <w:sz w:val="28"/>
          <w:szCs w:val="28"/>
        </w:rPr>
        <w:t xml:space="preserve">Статистический анализ возможных триггерных механизмов для возникновения геомагнитных </w:t>
      </w:r>
      <w:proofErr w:type="spellStart"/>
      <w:r w:rsidRPr="00931400">
        <w:rPr>
          <w:b/>
          <w:sz w:val="28"/>
          <w:szCs w:val="28"/>
        </w:rPr>
        <w:t>суббурь</w:t>
      </w:r>
      <w:proofErr w:type="spellEnd"/>
    </w:p>
    <w:p w14:paraId="53C2F90D" w14:textId="77777777" w:rsidR="002B4153" w:rsidRPr="00FD3492" w:rsidRDefault="002B4153" w:rsidP="002B4153">
      <w:pPr>
        <w:rPr>
          <w:sz w:val="28"/>
          <w:szCs w:val="28"/>
        </w:rPr>
      </w:pPr>
    </w:p>
    <w:p w14:paraId="79D93D5D" w14:textId="77777777" w:rsidR="002B4153" w:rsidRPr="00FD3492" w:rsidRDefault="002B4153" w:rsidP="002B4153">
      <w:pPr>
        <w:rPr>
          <w:sz w:val="20"/>
        </w:rPr>
      </w:pPr>
      <w:r w:rsidRPr="00B67613">
        <w:rPr>
          <w:sz w:val="20"/>
        </w:rPr>
        <w:t>Н.А. Бархатов</w:t>
      </w:r>
      <w:r w:rsidRPr="00B67613">
        <w:rPr>
          <w:sz w:val="20"/>
          <w:vertAlign w:val="superscript"/>
        </w:rPr>
        <w:t>1</w:t>
      </w:r>
      <w:r w:rsidRPr="00B67613">
        <w:rPr>
          <w:sz w:val="20"/>
        </w:rPr>
        <w:t>, С.Е. Ревунов</w:t>
      </w:r>
      <w:r w:rsidRPr="00B67613">
        <w:rPr>
          <w:sz w:val="20"/>
          <w:vertAlign w:val="superscript"/>
        </w:rPr>
        <w:t>1</w:t>
      </w:r>
      <w:r w:rsidRPr="00B67613">
        <w:rPr>
          <w:sz w:val="20"/>
        </w:rPr>
        <w:t>, О.М. Бархатова</w:t>
      </w:r>
      <w:r w:rsidRPr="00B67613">
        <w:rPr>
          <w:sz w:val="20"/>
          <w:vertAlign w:val="superscript"/>
        </w:rPr>
        <w:t>2</w:t>
      </w:r>
      <w:r w:rsidRPr="00B67613">
        <w:rPr>
          <w:sz w:val="20"/>
        </w:rPr>
        <w:t>,</w:t>
      </w:r>
      <w:r w:rsidRPr="003D6548">
        <w:rPr>
          <w:sz w:val="20"/>
        </w:rPr>
        <w:t xml:space="preserve"> </w:t>
      </w:r>
      <w:r w:rsidRPr="00B67613">
        <w:rPr>
          <w:sz w:val="20"/>
        </w:rPr>
        <w:t>В.Г. Воробьев</w:t>
      </w:r>
      <w:r w:rsidRPr="00B67613">
        <w:rPr>
          <w:sz w:val="20"/>
          <w:vertAlign w:val="superscript"/>
        </w:rPr>
        <w:t>3</w:t>
      </w:r>
      <w:r w:rsidRPr="00B67613">
        <w:rPr>
          <w:sz w:val="20"/>
        </w:rPr>
        <w:t>, Е.А. Ревунова</w:t>
      </w:r>
      <w:r w:rsidRPr="00B67613">
        <w:rPr>
          <w:sz w:val="20"/>
          <w:vertAlign w:val="superscript"/>
        </w:rPr>
        <w:t>2</w:t>
      </w:r>
    </w:p>
    <w:p w14:paraId="1E140A3B" w14:textId="77777777" w:rsidR="002B4153" w:rsidRPr="00FD3492" w:rsidRDefault="002B4153" w:rsidP="002B4153">
      <w:pPr>
        <w:rPr>
          <w:sz w:val="20"/>
        </w:rPr>
      </w:pPr>
    </w:p>
    <w:p w14:paraId="01D92D37" w14:textId="77777777" w:rsidR="002B4153" w:rsidRDefault="002B4153" w:rsidP="002B4153">
      <w:pPr>
        <w:jc w:val="left"/>
        <w:rPr>
          <w:rFonts w:eastAsia="Calibri"/>
          <w:i/>
          <w:sz w:val="20"/>
        </w:rPr>
      </w:pPr>
      <w:r w:rsidRPr="00FD3492">
        <w:rPr>
          <w:rFonts w:eastAsia="Calibri"/>
          <w:i/>
          <w:sz w:val="20"/>
          <w:vertAlign w:val="superscript"/>
        </w:rPr>
        <w:t>1</w:t>
      </w:r>
      <w:r w:rsidRPr="00FD3492">
        <w:rPr>
          <w:rFonts w:eastAsia="Calibri"/>
          <w:i/>
          <w:sz w:val="20"/>
        </w:rPr>
        <w:t>Нижегородский государственный педагогический университет им. К. Минина</w:t>
      </w:r>
    </w:p>
    <w:p w14:paraId="03A837CE" w14:textId="77777777" w:rsidR="002B4153" w:rsidRPr="00A42026" w:rsidRDefault="002B4153" w:rsidP="002B4153">
      <w:pPr>
        <w:jc w:val="left"/>
        <w:rPr>
          <w:sz w:val="20"/>
        </w:rPr>
      </w:pPr>
      <w:r w:rsidRPr="003D6548">
        <w:rPr>
          <w:rFonts w:eastAsia="Calibri"/>
          <w:i/>
          <w:sz w:val="20"/>
          <w:vertAlign w:val="superscript"/>
        </w:rPr>
        <w:t>2</w:t>
      </w:r>
      <w:r w:rsidRPr="00F92285">
        <w:rPr>
          <w:rFonts w:eastAsia="Calibri"/>
          <w:i/>
          <w:sz w:val="20"/>
        </w:rPr>
        <w:t>Нижегородский государственный архитектурно-строительный университет</w:t>
      </w:r>
    </w:p>
    <w:p w14:paraId="67717C61" w14:textId="77777777" w:rsidR="002B4153" w:rsidRPr="00703473" w:rsidRDefault="002B4153" w:rsidP="002B4153">
      <w:pPr>
        <w:jc w:val="left"/>
        <w:rPr>
          <w:rFonts w:eastAsia="Calibri"/>
          <w:i/>
        </w:rPr>
      </w:pPr>
      <w:r w:rsidRPr="003D6548">
        <w:rPr>
          <w:rFonts w:eastAsia="Calibri"/>
          <w:i/>
          <w:vertAlign w:val="superscript"/>
        </w:rPr>
        <w:t>3</w:t>
      </w:r>
      <w:r w:rsidRPr="00703473">
        <w:rPr>
          <w:rFonts w:eastAsia="Calibri"/>
          <w:i/>
        </w:rPr>
        <w:t xml:space="preserve">Полярный геофизический институт, </w:t>
      </w:r>
      <w:r w:rsidRPr="00703473">
        <w:rPr>
          <w:i/>
        </w:rPr>
        <w:t>Апатиты, Россия</w:t>
      </w:r>
    </w:p>
    <w:p w14:paraId="07BD7BF6" w14:textId="77777777" w:rsidR="002B4153" w:rsidRDefault="002B4153" w:rsidP="002B4153">
      <w:pPr>
        <w:rPr>
          <w:b/>
          <w:sz w:val="20"/>
        </w:rPr>
      </w:pPr>
    </w:p>
    <w:p w14:paraId="0B4931AF" w14:textId="77777777" w:rsidR="002B4153" w:rsidRPr="00A42026" w:rsidRDefault="002B4153" w:rsidP="002B4153">
      <w:pPr>
        <w:rPr>
          <w:b/>
          <w:sz w:val="20"/>
        </w:rPr>
      </w:pPr>
    </w:p>
    <w:p w14:paraId="1203CB96" w14:textId="77777777" w:rsidR="002B4153" w:rsidRPr="005A2F63" w:rsidRDefault="002B4153" w:rsidP="002B4153">
      <w:pPr>
        <w:rPr>
          <w:b/>
          <w:sz w:val="20"/>
        </w:rPr>
      </w:pPr>
      <w:r w:rsidRPr="005A2F63">
        <w:rPr>
          <w:b/>
          <w:sz w:val="20"/>
        </w:rPr>
        <w:t>Аннотация</w:t>
      </w:r>
    </w:p>
    <w:p w14:paraId="36A5F822" w14:textId="77777777" w:rsidR="002B4153" w:rsidRDefault="002B4153" w:rsidP="002B4153">
      <w:pPr>
        <w:pStyle w:val="af3"/>
        <w:rPr>
          <w:sz w:val="20"/>
          <w:szCs w:val="20"/>
        </w:rPr>
      </w:pPr>
    </w:p>
    <w:p w14:paraId="182D0480" w14:textId="77777777" w:rsidR="002B4153" w:rsidRPr="00931400" w:rsidRDefault="002B4153" w:rsidP="002B4153">
      <w:pPr>
        <w:pStyle w:val="af3"/>
        <w:rPr>
          <w:sz w:val="20"/>
          <w:szCs w:val="20"/>
        </w:rPr>
      </w:pPr>
      <w:r w:rsidRPr="00931400">
        <w:rPr>
          <w:sz w:val="20"/>
          <w:szCs w:val="20"/>
        </w:rPr>
        <w:t xml:space="preserve">Работа посвящена статистическому анализу факторов, сопровождающих возникновение изолированных геомагнитных </w:t>
      </w:r>
      <w:proofErr w:type="spellStart"/>
      <w:r w:rsidRPr="00931400">
        <w:rPr>
          <w:sz w:val="20"/>
          <w:szCs w:val="20"/>
        </w:rPr>
        <w:t>суббурь</w:t>
      </w:r>
      <w:proofErr w:type="spellEnd"/>
      <w:r w:rsidRPr="00931400">
        <w:rPr>
          <w:sz w:val="20"/>
          <w:szCs w:val="20"/>
        </w:rPr>
        <w:t xml:space="preserve"> в магнитосфере Земли под воздействием солнечного ветра. Особое внимание уделено определению условий, при которых инициируются </w:t>
      </w:r>
      <w:proofErr w:type="spellStart"/>
      <w:r w:rsidRPr="00931400">
        <w:rPr>
          <w:sz w:val="20"/>
          <w:szCs w:val="20"/>
        </w:rPr>
        <w:t>суббури</w:t>
      </w:r>
      <w:proofErr w:type="spellEnd"/>
      <w:r w:rsidRPr="00931400">
        <w:rPr>
          <w:sz w:val="20"/>
          <w:szCs w:val="20"/>
        </w:rPr>
        <w:t>, а также исследованию триггерных механизмов, запускающих эти процессы. В статье рассматривается роль различных параметров солнечного ветра, включая скорость, плотность и межпланетное магнитное поле</w:t>
      </w:r>
      <w:r w:rsidRPr="009A5B0D">
        <w:rPr>
          <w:sz w:val="20"/>
          <w:szCs w:val="20"/>
        </w:rPr>
        <w:t xml:space="preserve"> </w:t>
      </w:r>
      <w:r>
        <w:rPr>
          <w:sz w:val="20"/>
          <w:szCs w:val="20"/>
        </w:rPr>
        <w:t xml:space="preserve">в </w:t>
      </w:r>
      <w:r w:rsidRPr="00931400">
        <w:rPr>
          <w:sz w:val="20"/>
          <w:szCs w:val="20"/>
        </w:rPr>
        <w:t>динамик</w:t>
      </w:r>
      <w:r>
        <w:rPr>
          <w:sz w:val="20"/>
          <w:szCs w:val="20"/>
        </w:rPr>
        <w:t>е</w:t>
      </w:r>
      <w:r w:rsidRPr="00931400">
        <w:rPr>
          <w:sz w:val="20"/>
          <w:szCs w:val="20"/>
        </w:rPr>
        <w:t xml:space="preserve"> магнитосферных возмущений. Особо отмечена высокая корреляция значений индекса SYM-H с индексом AL, ассоциированным с изолированными </w:t>
      </w:r>
      <w:proofErr w:type="spellStart"/>
      <w:r w:rsidRPr="00931400">
        <w:rPr>
          <w:sz w:val="20"/>
          <w:szCs w:val="20"/>
        </w:rPr>
        <w:t>суббуревыми</w:t>
      </w:r>
      <w:proofErr w:type="spellEnd"/>
      <w:r w:rsidRPr="00931400">
        <w:rPr>
          <w:sz w:val="20"/>
          <w:szCs w:val="20"/>
        </w:rPr>
        <w:t xml:space="preserve"> событиями, которые возникают на фоне глобальных магнитосферных возмущений. Это свидетельствует о тесной взаимосвязи локальных и глобальных процессов в системе </w:t>
      </w:r>
      <w:r>
        <w:rPr>
          <w:sz w:val="20"/>
          <w:szCs w:val="20"/>
        </w:rPr>
        <w:t>«</w:t>
      </w:r>
      <w:r w:rsidRPr="00931400">
        <w:rPr>
          <w:sz w:val="20"/>
          <w:szCs w:val="20"/>
        </w:rPr>
        <w:t>солнечный ветер — магнитосфера</w:t>
      </w:r>
      <w:r>
        <w:rPr>
          <w:sz w:val="20"/>
          <w:szCs w:val="20"/>
        </w:rPr>
        <w:t>»</w:t>
      </w:r>
      <w:r w:rsidRPr="00931400">
        <w:rPr>
          <w:sz w:val="20"/>
          <w:szCs w:val="20"/>
        </w:rPr>
        <w:t xml:space="preserve"> и подчёркивает необходимость комплексного подхода к исследованию космических бурь и </w:t>
      </w:r>
      <w:proofErr w:type="spellStart"/>
      <w:r w:rsidRPr="00931400">
        <w:rPr>
          <w:sz w:val="20"/>
          <w:szCs w:val="20"/>
        </w:rPr>
        <w:t>суббурь</w:t>
      </w:r>
      <w:proofErr w:type="spellEnd"/>
      <w:r w:rsidRPr="00931400">
        <w:rPr>
          <w:sz w:val="20"/>
          <w:szCs w:val="20"/>
        </w:rPr>
        <w:t xml:space="preserve">. Проведённый анализ позволил выявить статистические зависимости между вариациями межпланетных параметров и интенсивностью </w:t>
      </w:r>
      <w:proofErr w:type="spellStart"/>
      <w:r w:rsidRPr="00931400">
        <w:rPr>
          <w:sz w:val="20"/>
          <w:szCs w:val="20"/>
        </w:rPr>
        <w:t>суббурь</w:t>
      </w:r>
      <w:proofErr w:type="spellEnd"/>
      <w:r w:rsidRPr="00931400">
        <w:rPr>
          <w:sz w:val="20"/>
          <w:szCs w:val="20"/>
        </w:rPr>
        <w:t>, что открывает возможность более точного прогнозирования подобных явлений.</w:t>
      </w:r>
      <w:r>
        <w:rPr>
          <w:sz w:val="20"/>
          <w:szCs w:val="20"/>
        </w:rPr>
        <w:t xml:space="preserve"> </w:t>
      </w:r>
      <w:r w:rsidRPr="00931400">
        <w:rPr>
          <w:sz w:val="20"/>
          <w:szCs w:val="20"/>
        </w:rPr>
        <w:t xml:space="preserve">Практическая значимость исследования определяется влиянием геомагнитных </w:t>
      </w:r>
      <w:proofErr w:type="spellStart"/>
      <w:r w:rsidRPr="00931400">
        <w:rPr>
          <w:sz w:val="20"/>
          <w:szCs w:val="20"/>
        </w:rPr>
        <w:t>суббурь</w:t>
      </w:r>
      <w:proofErr w:type="spellEnd"/>
      <w:r w:rsidRPr="00931400">
        <w:rPr>
          <w:sz w:val="20"/>
          <w:szCs w:val="20"/>
        </w:rPr>
        <w:t xml:space="preserve"> на функционирование космических аппаратов, систем глобальной навигации и наземных коммуникаций, чувствительных к космической погоде. Полученные результаты позволяют уточнить представления о перераспределении энергии в магнитосфере и вносят вклад в развитие теоретических моделей её динамики.</w:t>
      </w:r>
    </w:p>
    <w:p w14:paraId="1212554E" w14:textId="77777777" w:rsidR="002B4153" w:rsidRPr="00931400" w:rsidRDefault="002B4153" w:rsidP="002B4153">
      <w:pPr>
        <w:pStyle w:val="af3"/>
        <w:rPr>
          <w:sz w:val="20"/>
          <w:szCs w:val="20"/>
        </w:rPr>
      </w:pPr>
    </w:p>
    <w:p w14:paraId="645F4AA7" w14:textId="77777777" w:rsidR="002B4153" w:rsidRDefault="002B4153" w:rsidP="002B4153">
      <w:pPr>
        <w:rPr>
          <w:sz w:val="20"/>
        </w:rPr>
      </w:pPr>
    </w:p>
    <w:p w14:paraId="36BFE726" w14:textId="77777777" w:rsidR="002B4153" w:rsidRDefault="002B4153" w:rsidP="002B4153">
      <w:pPr>
        <w:rPr>
          <w:b/>
          <w:sz w:val="20"/>
        </w:rPr>
      </w:pPr>
      <w:r w:rsidRPr="00A42026">
        <w:rPr>
          <w:b/>
          <w:sz w:val="20"/>
        </w:rPr>
        <w:t>Введение</w:t>
      </w:r>
    </w:p>
    <w:p w14:paraId="7B1367A8" w14:textId="77777777" w:rsidR="002B4153" w:rsidRPr="00A42026" w:rsidRDefault="002B4153" w:rsidP="002B4153">
      <w:pPr>
        <w:rPr>
          <w:b/>
          <w:sz w:val="20"/>
        </w:rPr>
      </w:pPr>
    </w:p>
    <w:p w14:paraId="327C837B" w14:textId="77777777" w:rsidR="002B4153" w:rsidRDefault="002B4153" w:rsidP="002B4153">
      <w:pPr>
        <w:rPr>
          <w:iCs/>
          <w:sz w:val="20"/>
        </w:rPr>
      </w:pPr>
      <w:r w:rsidRPr="009F0E84">
        <w:rPr>
          <w:iCs/>
          <w:sz w:val="20"/>
        </w:rPr>
        <w:t xml:space="preserve">Изучение геомагнитных </w:t>
      </w:r>
      <w:proofErr w:type="spellStart"/>
      <w:r w:rsidRPr="009F0E84">
        <w:rPr>
          <w:iCs/>
          <w:sz w:val="20"/>
        </w:rPr>
        <w:t>суббурь</w:t>
      </w:r>
      <w:proofErr w:type="spellEnd"/>
      <w:r w:rsidRPr="009F0E84">
        <w:rPr>
          <w:iCs/>
          <w:sz w:val="20"/>
        </w:rPr>
        <w:t xml:space="preserve"> относится к ключевым вопросам исследовательской программы по динамике магнитосферы и её взаимодействия с солнечным ветром. В последнее время эмпирические исследования показали, что </w:t>
      </w:r>
      <w:proofErr w:type="spellStart"/>
      <w:r w:rsidRPr="009F0E84">
        <w:rPr>
          <w:iCs/>
          <w:sz w:val="20"/>
        </w:rPr>
        <w:t>суббури</w:t>
      </w:r>
      <w:proofErr w:type="spellEnd"/>
      <w:r w:rsidRPr="009F0E84">
        <w:rPr>
          <w:iCs/>
          <w:sz w:val="20"/>
        </w:rPr>
        <w:t xml:space="preserve"> не всегда инициируются исключительно внутренними процессами в магнитосфере. Такие внешние воздействия как ориентация и вариации межпланетного магнитного поля, динамическое давление солнечного ветра неоднократно упоминаются как возможные триггеры. Один из классических подходов в подобных исследованиях — статистические исследования зависимости начала </w:t>
      </w:r>
      <w:proofErr w:type="spellStart"/>
      <w:r w:rsidRPr="009F0E84">
        <w:rPr>
          <w:iCs/>
          <w:sz w:val="20"/>
        </w:rPr>
        <w:t>суббурь</w:t>
      </w:r>
      <w:proofErr w:type="spellEnd"/>
      <w:r w:rsidRPr="009F0E84">
        <w:rPr>
          <w:iCs/>
          <w:sz w:val="20"/>
        </w:rPr>
        <w:t xml:space="preserve"> от предшествующих событий, таких как поворот ММП на север после протяжённого периода преобладающего южного поля</w:t>
      </w:r>
      <w:r>
        <w:rPr>
          <w:iCs/>
          <w:sz w:val="20"/>
        </w:rPr>
        <w:t xml:space="preserve"> или </w:t>
      </w:r>
      <w:r w:rsidRPr="009F0E84">
        <w:rPr>
          <w:iCs/>
          <w:sz w:val="20"/>
        </w:rPr>
        <w:t>внезапны</w:t>
      </w:r>
      <w:r>
        <w:rPr>
          <w:iCs/>
          <w:sz w:val="20"/>
        </w:rPr>
        <w:t>х</w:t>
      </w:r>
      <w:r w:rsidRPr="009F0E84">
        <w:rPr>
          <w:iCs/>
          <w:sz w:val="20"/>
        </w:rPr>
        <w:t xml:space="preserve"> скачк</w:t>
      </w:r>
      <w:r>
        <w:rPr>
          <w:iCs/>
          <w:sz w:val="20"/>
        </w:rPr>
        <w:t>ов</w:t>
      </w:r>
      <w:r w:rsidRPr="009F0E84">
        <w:rPr>
          <w:iCs/>
          <w:sz w:val="20"/>
        </w:rPr>
        <w:t xml:space="preserve"> давления солнечного ветра. В работе [1] показано, что далеко не все </w:t>
      </w:r>
      <w:proofErr w:type="spellStart"/>
      <w:r w:rsidRPr="009F0E84">
        <w:rPr>
          <w:iCs/>
          <w:sz w:val="20"/>
        </w:rPr>
        <w:t>суббури</w:t>
      </w:r>
      <w:proofErr w:type="spellEnd"/>
      <w:r w:rsidRPr="009F0E84">
        <w:rPr>
          <w:iCs/>
          <w:sz w:val="20"/>
        </w:rPr>
        <w:t xml:space="preserve"> следуют этим внешним воздействиям, что породило деление на «</w:t>
      </w:r>
      <w:proofErr w:type="spellStart"/>
      <w:r w:rsidRPr="009F0E84">
        <w:rPr>
          <w:iCs/>
          <w:sz w:val="20"/>
        </w:rPr>
        <w:t>triggered</w:t>
      </w:r>
      <w:proofErr w:type="spellEnd"/>
      <w:r w:rsidRPr="009F0E84">
        <w:rPr>
          <w:iCs/>
          <w:sz w:val="20"/>
        </w:rPr>
        <w:t>» и «</w:t>
      </w:r>
      <w:proofErr w:type="spellStart"/>
      <w:r w:rsidRPr="009F0E84">
        <w:rPr>
          <w:iCs/>
          <w:sz w:val="20"/>
        </w:rPr>
        <w:t>non-triggered</w:t>
      </w:r>
      <w:proofErr w:type="spellEnd"/>
      <w:r w:rsidRPr="009F0E84">
        <w:rPr>
          <w:iCs/>
          <w:sz w:val="20"/>
        </w:rPr>
        <w:t xml:space="preserve">» </w:t>
      </w:r>
      <w:proofErr w:type="spellStart"/>
      <w:r w:rsidRPr="009F0E84">
        <w:rPr>
          <w:iCs/>
          <w:sz w:val="20"/>
        </w:rPr>
        <w:t>суббури</w:t>
      </w:r>
      <w:proofErr w:type="spellEnd"/>
      <w:r w:rsidRPr="009F0E84">
        <w:rPr>
          <w:iCs/>
          <w:sz w:val="20"/>
        </w:rPr>
        <w:t xml:space="preserve"> и необходимость уточнения предшествующих условий. Другой вклад в развитие темы внесли работы, где анализируется пространственно-временные последовательности данных из хвостовой части магнитосферы. Так в исследовании [2] демонстрируется, что динамика магнитного поля в средней хвостовой зоне (~15-25 R</w:t>
      </w:r>
      <w:r w:rsidRPr="009F0E84">
        <w:rPr>
          <w:iCs/>
          <w:sz w:val="20"/>
          <w:vertAlign w:val="subscript"/>
        </w:rPr>
        <w:t>E</w:t>
      </w:r>
      <w:r w:rsidRPr="009F0E84">
        <w:rPr>
          <w:iCs/>
          <w:sz w:val="20"/>
        </w:rPr>
        <w:t xml:space="preserve">) часто опережает </w:t>
      </w:r>
      <w:r>
        <w:rPr>
          <w:iCs/>
          <w:sz w:val="20"/>
        </w:rPr>
        <w:t>около</w:t>
      </w:r>
      <w:r w:rsidRPr="009F0E84">
        <w:rPr>
          <w:iCs/>
          <w:sz w:val="20"/>
        </w:rPr>
        <w:t>земную</w:t>
      </w:r>
      <w:r>
        <w:rPr>
          <w:iCs/>
          <w:sz w:val="20"/>
        </w:rPr>
        <w:t xml:space="preserve"> динамику</w:t>
      </w:r>
      <w:r w:rsidRPr="009F0E84">
        <w:rPr>
          <w:iCs/>
          <w:sz w:val="20"/>
        </w:rPr>
        <w:t xml:space="preserve">, что ставит под сомнение упрощённые модели, в которых </w:t>
      </w:r>
      <w:proofErr w:type="spellStart"/>
      <w:r w:rsidRPr="009F0E84">
        <w:rPr>
          <w:iCs/>
          <w:sz w:val="20"/>
        </w:rPr>
        <w:t>суббуря</w:t>
      </w:r>
      <w:proofErr w:type="spellEnd"/>
      <w:r w:rsidRPr="009F0E84">
        <w:rPr>
          <w:iCs/>
          <w:sz w:val="20"/>
        </w:rPr>
        <w:t xml:space="preserve"> запускается исключительно под действием процессов </w:t>
      </w:r>
      <w:proofErr w:type="spellStart"/>
      <w:r w:rsidRPr="009F0E84">
        <w:rPr>
          <w:iCs/>
          <w:sz w:val="20"/>
        </w:rPr>
        <w:t>пересоединения</w:t>
      </w:r>
      <w:proofErr w:type="spellEnd"/>
      <w:r w:rsidRPr="009F0E84">
        <w:rPr>
          <w:iCs/>
          <w:sz w:val="20"/>
        </w:rPr>
        <w:t xml:space="preserve"> магнитных полей на дневной стороне Земли. Сравнительно недавние работы, такие как [3], статистически детализируют характеристики </w:t>
      </w:r>
      <w:proofErr w:type="spellStart"/>
      <w:r w:rsidRPr="009F0E84">
        <w:rPr>
          <w:iCs/>
          <w:sz w:val="20"/>
        </w:rPr>
        <w:t>суббурь</w:t>
      </w:r>
      <w:proofErr w:type="spellEnd"/>
      <w:r w:rsidRPr="009F0E84">
        <w:rPr>
          <w:iCs/>
          <w:sz w:val="20"/>
        </w:rPr>
        <w:t xml:space="preserve"> различной интенсивности, их сезонные и суточные вариации</w:t>
      </w:r>
      <w:r>
        <w:rPr>
          <w:iCs/>
          <w:sz w:val="20"/>
        </w:rPr>
        <w:t xml:space="preserve">, а также </w:t>
      </w:r>
      <w:r w:rsidRPr="009F0E84">
        <w:rPr>
          <w:iCs/>
          <w:sz w:val="20"/>
        </w:rPr>
        <w:t>зависимость</w:t>
      </w:r>
      <w:r>
        <w:rPr>
          <w:iCs/>
          <w:sz w:val="20"/>
        </w:rPr>
        <w:t xml:space="preserve"> </w:t>
      </w:r>
      <w:proofErr w:type="spellStart"/>
      <w:r>
        <w:rPr>
          <w:iCs/>
          <w:sz w:val="20"/>
        </w:rPr>
        <w:t>суббурь</w:t>
      </w:r>
      <w:proofErr w:type="spellEnd"/>
      <w:r w:rsidRPr="009F0E84">
        <w:rPr>
          <w:iCs/>
          <w:sz w:val="20"/>
        </w:rPr>
        <w:t xml:space="preserve"> от этапов солнечного цикла</w:t>
      </w:r>
      <w:r>
        <w:rPr>
          <w:iCs/>
          <w:sz w:val="20"/>
        </w:rPr>
        <w:t xml:space="preserve">. При этом рассматривается </w:t>
      </w:r>
      <w:r w:rsidRPr="009F0E84">
        <w:rPr>
          <w:iCs/>
          <w:sz w:val="20"/>
        </w:rPr>
        <w:t>поведени</w:t>
      </w:r>
      <w:r>
        <w:rPr>
          <w:iCs/>
          <w:sz w:val="20"/>
        </w:rPr>
        <w:t>е</w:t>
      </w:r>
      <w:r w:rsidRPr="009F0E84">
        <w:rPr>
          <w:iCs/>
          <w:sz w:val="20"/>
        </w:rPr>
        <w:t xml:space="preserve"> </w:t>
      </w:r>
      <w:r>
        <w:rPr>
          <w:iCs/>
          <w:sz w:val="20"/>
        </w:rPr>
        <w:t xml:space="preserve">геомагнитных </w:t>
      </w:r>
      <w:r w:rsidRPr="009F0E84">
        <w:rPr>
          <w:iCs/>
          <w:sz w:val="20"/>
        </w:rPr>
        <w:t xml:space="preserve">индексов и параметров солнечного ветра перед </w:t>
      </w:r>
      <w:proofErr w:type="spellStart"/>
      <w:r w:rsidRPr="009F0E84">
        <w:rPr>
          <w:iCs/>
          <w:sz w:val="20"/>
        </w:rPr>
        <w:t>суббуревыми</w:t>
      </w:r>
      <w:proofErr w:type="spellEnd"/>
      <w:r w:rsidRPr="009F0E84">
        <w:rPr>
          <w:iCs/>
          <w:sz w:val="20"/>
        </w:rPr>
        <w:t xml:space="preserve"> событиями. </w:t>
      </w:r>
    </w:p>
    <w:p w14:paraId="6DCCCB70" w14:textId="77777777" w:rsidR="002B4153" w:rsidRDefault="002B4153" w:rsidP="002B4153">
      <w:pPr>
        <w:rPr>
          <w:iCs/>
          <w:sz w:val="20"/>
        </w:rPr>
      </w:pPr>
      <w:r w:rsidRPr="009F0E84">
        <w:rPr>
          <w:iCs/>
          <w:sz w:val="20"/>
        </w:rPr>
        <w:t xml:space="preserve">Актуальность представленного нами статистического анализа определяется несколькими причинами. Во-первых, с ростом зависимости </w:t>
      </w:r>
      <w:r>
        <w:rPr>
          <w:iCs/>
          <w:sz w:val="20"/>
        </w:rPr>
        <w:t xml:space="preserve">наземных </w:t>
      </w:r>
      <w:r w:rsidRPr="009F0E84">
        <w:rPr>
          <w:iCs/>
          <w:sz w:val="20"/>
        </w:rPr>
        <w:t xml:space="preserve">технологий от спутниковых систем, точной навигации, связи и электрических сетей, даже локальные геомагнитные возмущения могут вызывать сбои </w:t>
      </w:r>
      <w:r>
        <w:rPr>
          <w:iCs/>
          <w:sz w:val="20"/>
        </w:rPr>
        <w:t>и</w:t>
      </w:r>
      <w:r w:rsidRPr="009F0E84">
        <w:rPr>
          <w:iCs/>
          <w:sz w:val="20"/>
        </w:rPr>
        <w:t xml:space="preserve">ли ускоренный износ оборудования. Прогнозирование </w:t>
      </w:r>
      <w:proofErr w:type="spellStart"/>
      <w:r w:rsidRPr="009F0E84">
        <w:rPr>
          <w:iCs/>
          <w:sz w:val="20"/>
        </w:rPr>
        <w:t>суббурь</w:t>
      </w:r>
      <w:proofErr w:type="spellEnd"/>
      <w:r w:rsidRPr="009F0E84">
        <w:rPr>
          <w:iCs/>
          <w:sz w:val="20"/>
        </w:rPr>
        <w:t xml:space="preserve">, особенно изолированных, которые могут возникать без полного развития магнитной бури, становится критическим для оценки рисков. Во-вторых, современное развитие инструментов наблюдения — спутниковых миссий, глобальных сетей магнитометров и высокочастотных радиозондов — позволяет собирать большие обширные наборы данных, что делает возможным выявление тонких статистических связей, которые ранее могли оставаться незаметными. Использование таких данных может помочь отличить ситуации, когда </w:t>
      </w:r>
      <w:proofErr w:type="spellStart"/>
      <w:r w:rsidRPr="009F0E84">
        <w:rPr>
          <w:iCs/>
          <w:sz w:val="20"/>
        </w:rPr>
        <w:t>суббуря</w:t>
      </w:r>
      <w:proofErr w:type="spellEnd"/>
      <w:r w:rsidRPr="009F0E84">
        <w:rPr>
          <w:iCs/>
          <w:sz w:val="20"/>
        </w:rPr>
        <w:t xml:space="preserve"> вызвана внешним триггером, от тех, где доминируют </w:t>
      </w:r>
      <w:r w:rsidRPr="009F0E84">
        <w:rPr>
          <w:iCs/>
          <w:sz w:val="20"/>
        </w:rPr>
        <w:lastRenderedPageBreak/>
        <w:t xml:space="preserve">внутренние процессы, и определить, какие комбинации параметров солнечного ветра (скорость, плотность, ориентация поля, давление и др.) наиболее вероятно </w:t>
      </w:r>
      <w:r>
        <w:rPr>
          <w:iCs/>
          <w:sz w:val="20"/>
        </w:rPr>
        <w:t>приводят к ее запуску.</w:t>
      </w:r>
    </w:p>
    <w:p w14:paraId="64A58C02" w14:textId="77777777" w:rsidR="002B4153" w:rsidRDefault="002B4153" w:rsidP="002B4153">
      <w:pPr>
        <w:rPr>
          <w:iCs/>
          <w:sz w:val="20"/>
        </w:rPr>
      </w:pPr>
    </w:p>
    <w:p w14:paraId="3DF9208A" w14:textId="77777777" w:rsidR="002B4153" w:rsidRDefault="002B4153" w:rsidP="002B4153">
      <w:pPr>
        <w:rPr>
          <w:sz w:val="20"/>
        </w:rPr>
      </w:pPr>
    </w:p>
    <w:p w14:paraId="1962129F" w14:textId="77777777" w:rsidR="002B4153" w:rsidRPr="00A42026" w:rsidRDefault="002B4153" w:rsidP="002B4153">
      <w:pPr>
        <w:rPr>
          <w:b/>
          <w:sz w:val="20"/>
        </w:rPr>
      </w:pPr>
      <w:r>
        <w:rPr>
          <w:b/>
          <w:iCs/>
          <w:sz w:val="20"/>
        </w:rPr>
        <w:t>И</w:t>
      </w:r>
      <w:r w:rsidRPr="004E1D6A">
        <w:rPr>
          <w:b/>
          <w:iCs/>
          <w:sz w:val="20"/>
        </w:rPr>
        <w:t xml:space="preserve">спользуемые данные и </w:t>
      </w:r>
      <w:r>
        <w:rPr>
          <w:b/>
          <w:iCs/>
          <w:sz w:val="20"/>
        </w:rPr>
        <w:t>методика исследования</w:t>
      </w:r>
    </w:p>
    <w:p w14:paraId="627111FC" w14:textId="77777777" w:rsidR="002B4153" w:rsidRDefault="002B4153" w:rsidP="002B4153">
      <w:pPr>
        <w:rPr>
          <w:b/>
          <w:sz w:val="20"/>
        </w:rPr>
      </w:pPr>
    </w:p>
    <w:p w14:paraId="26CBE18A" w14:textId="77777777" w:rsidR="002B4153" w:rsidRDefault="002B4153" w:rsidP="002B4153">
      <w:pPr>
        <w:rPr>
          <w:sz w:val="20"/>
        </w:rPr>
      </w:pPr>
      <w:r w:rsidRPr="005B7DDA">
        <w:rPr>
          <w:sz w:val="20"/>
        </w:rPr>
        <w:t xml:space="preserve">Материалом для исследования послужили изолированные </w:t>
      </w:r>
      <w:proofErr w:type="spellStart"/>
      <w:r w:rsidRPr="005B7DDA">
        <w:rPr>
          <w:sz w:val="20"/>
        </w:rPr>
        <w:t>суббури</w:t>
      </w:r>
      <w:proofErr w:type="spellEnd"/>
      <w:r w:rsidRPr="005B7DDA">
        <w:rPr>
          <w:sz w:val="20"/>
        </w:rPr>
        <w:t xml:space="preserve">, отобранные по вариациям минутных значений индекса AL за зимние сезоны с 1995 г. по 2012 г. </w:t>
      </w:r>
      <w:r>
        <w:rPr>
          <w:sz w:val="20"/>
        </w:rPr>
        <w:t xml:space="preserve">Поиск таких </w:t>
      </w:r>
      <w:proofErr w:type="spellStart"/>
      <w:r w:rsidRPr="005B7DDA">
        <w:rPr>
          <w:sz w:val="20"/>
        </w:rPr>
        <w:t>суббурь</w:t>
      </w:r>
      <w:proofErr w:type="spellEnd"/>
      <w:r w:rsidRPr="005B7DDA">
        <w:rPr>
          <w:sz w:val="20"/>
        </w:rPr>
        <w:t xml:space="preserve"> проводился визуально по суточным вариациям AL индекса. Было использовано 106 изолированных </w:t>
      </w:r>
      <w:proofErr w:type="spellStart"/>
      <w:r w:rsidRPr="005B7DDA">
        <w:rPr>
          <w:sz w:val="20"/>
        </w:rPr>
        <w:t>суббуревых</w:t>
      </w:r>
      <w:proofErr w:type="spellEnd"/>
      <w:r w:rsidRPr="005B7DDA">
        <w:rPr>
          <w:sz w:val="20"/>
        </w:rPr>
        <w:t xml:space="preserve"> событий различной интенсивности, каталог которых представлен на страницах (http://pgia.ru/lang/en/data/). Данные по индексам магнитной активности и по параметрам межпланетной среды с разрешением в 1 мин взяты на портале OMNI Web (http://cdaweb.gsfc.nasa.gov/).</w:t>
      </w:r>
      <w:r>
        <w:rPr>
          <w:sz w:val="20"/>
        </w:rPr>
        <w:t xml:space="preserve"> </w:t>
      </w:r>
      <w:r w:rsidRPr="005B7DDA">
        <w:rPr>
          <w:sz w:val="20"/>
        </w:rPr>
        <w:t>Оценка возможных триггерных механизмов</w:t>
      </w:r>
      <w:r>
        <w:rPr>
          <w:sz w:val="20"/>
        </w:rPr>
        <w:t>,</w:t>
      </w:r>
      <w:r w:rsidRPr="005B7DDA">
        <w:rPr>
          <w:sz w:val="20"/>
        </w:rPr>
        <w:t xml:space="preserve"> запускающих </w:t>
      </w:r>
      <w:proofErr w:type="spellStart"/>
      <w:r w:rsidRPr="005B7DDA">
        <w:rPr>
          <w:sz w:val="20"/>
        </w:rPr>
        <w:t>суббури</w:t>
      </w:r>
      <w:proofErr w:type="spellEnd"/>
      <w:r w:rsidRPr="005B7DDA">
        <w:rPr>
          <w:sz w:val="20"/>
        </w:rPr>
        <w:t xml:space="preserve"> выполнена на основе анализа распределений значений коэффициентов корреляции между конкретными параметрами</w:t>
      </w:r>
      <w:r>
        <w:rPr>
          <w:sz w:val="20"/>
        </w:rPr>
        <w:t>,</w:t>
      </w:r>
      <w:r w:rsidRPr="005B7DDA">
        <w:rPr>
          <w:sz w:val="20"/>
        </w:rPr>
        <w:t xml:space="preserve"> характеризующими </w:t>
      </w:r>
      <w:proofErr w:type="spellStart"/>
      <w:r w:rsidRPr="005B7DDA">
        <w:rPr>
          <w:sz w:val="20"/>
        </w:rPr>
        <w:t>замагниченный</w:t>
      </w:r>
      <w:proofErr w:type="spellEnd"/>
      <w:r w:rsidRPr="005B7DDA">
        <w:rPr>
          <w:sz w:val="20"/>
        </w:rPr>
        <w:t xml:space="preserve"> солнеч</w:t>
      </w:r>
      <w:r>
        <w:rPr>
          <w:sz w:val="20"/>
        </w:rPr>
        <w:t>ный ветер (</w:t>
      </w:r>
      <w:proofErr w:type="spellStart"/>
      <w:r>
        <w:rPr>
          <w:sz w:val="20"/>
        </w:rPr>
        <w:t>Bx</w:t>
      </w:r>
      <w:proofErr w:type="spellEnd"/>
      <w:r>
        <w:rPr>
          <w:sz w:val="20"/>
        </w:rPr>
        <w:t xml:space="preserve">, By, </w:t>
      </w:r>
      <w:proofErr w:type="spellStart"/>
      <w:r>
        <w:rPr>
          <w:sz w:val="20"/>
        </w:rPr>
        <w:t>Bz</w:t>
      </w:r>
      <w:proofErr w:type="spellEnd"/>
      <w:r>
        <w:rPr>
          <w:sz w:val="20"/>
        </w:rPr>
        <w:t>, V, N, P=</w:t>
      </w:r>
      <w:r w:rsidRPr="005B7DDA">
        <w:rPr>
          <w:sz w:val="20"/>
        </w:rPr>
        <w:t>NV</w:t>
      </w:r>
      <w:r w:rsidRPr="005B7DDA">
        <w:rPr>
          <w:sz w:val="20"/>
          <w:vertAlign w:val="superscript"/>
        </w:rPr>
        <w:t>2</w:t>
      </w:r>
      <w:r w:rsidRPr="005B7DDA">
        <w:rPr>
          <w:sz w:val="20"/>
        </w:rPr>
        <w:t xml:space="preserve">), магнитосферными индексами PC и </w:t>
      </w:r>
      <w:proofErr w:type="gramStart"/>
      <w:r w:rsidRPr="005B7DDA">
        <w:rPr>
          <w:sz w:val="20"/>
        </w:rPr>
        <w:t>SYM/H</w:t>
      </w:r>
      <w:proofErr w:type="gramEnd"/>
      <w:r w:rsidRPr="005B7DDA">
        <w:rPr>
          <w:sz w:val="20"/>
        </w:rPr>
        <w:t xml:space="preserve"> и индексом AL для описания </w:t>
      </w:r>
      <w:proofErr w:type="spellStart"/>
      <w:r w:rsidRPr="005B7DDA">
        <w:rPr>
          <w:sz w:val="20"/>
        </w:rPr>
        <w:t>суббуревой</w:t>
      </w:r>
      <w:proofErr w:type="spellEnd"/>
      <w:r w:rsidRPr="005B7DDA">
        <w:rPr>
          <w:sz w:val="20"/>
        </w:rPr>
        <w:t xml:space="preserve"> активности.</w:t>
      </w:r>
      <w:r>
        <w:rPr>
          <w:sz w:val="20"/>
        </w:rPr>
        <w:t xml:space="preserve"> </w:t>
      </w:r>
      <w:r w:rsidRPr="005B7DDA">
        <w:rPr>
          <w:sz w:val="20"/>
        </w:rPr>
        <w:t>Согласно [</w:t>
      </w:r>
      <w:r>
        <w:rPr>
          <w:sz w:val="20"/>
        </w:rPr>
        <w:t>4</w:t>
      </w:r>
      <w:r w:rsidRPr="005B7DDA">
        <w:rPr>
          <w:sz w:val="20"/>
        </w:rPr>
        <w:t xml:space="preserve">] для каждой изолированной </w:t>
      </w:r>
      <w:proofErr w:type="spellStart"/>
      <w:r w:rsidRPr="005B7DDA">
        <w:rPr>
          <w:sz w:val="20"/>
        </w:rPr>
        <w:t>суббури</w:t>
      </w:r>
      <w:proofErr w:type="spellEnd"/>
      <w:r w:rsidRPr="005B7DDA">
        <w:rPr>
          <w:sz w:val="20"/>
        </w:rPr>
        <w:t xml:space="preserve"> определены интервалы её фазы зарождения. Корреляция вычисляется для всех 106 событий в этом интервале между парами</w:t>
      </w:r>
      <w:r>
        <w:rPr>
          <w:sz w:val="20"/>
        </w:rPr>
        <w:t xml:space="preserve"> </w:t>
      </w:r>
      <w:proofErr w:type="spellStart"/>
      <w:r w:rsidRPr="005B7DDA">
        <w:rPr>
          <w:sz w:val="20"/>
        </w:rPr>
        <w:t>Bx</w:t>
      </w:r>
      <w:proofErr w:type="spellEnd"/>
      <w:r w:rsidRPr="005B7DDA">
        <w:rPr>
          <w:sz w:val="20"/>
        </w:rPr>
        <w:t xml:space="preserve">-AL, By-AL, </w:t>
      </w:r>
      <w:proofErr w:type="spellStart"/>
      <w:r w:rsidRPr="005B7DDA">
        <w:rPr>
          <w:sz w:val="20"/>
        </w:rPr>
        <w:t>Bz</w:t>
      </w:r>
      <w:proofErr w:type="spellEnd"/>
      <w:r w:rsidRPr="005B7DDA">
        <w:rPr>
          <w:sz w:val="20"/>
        </w:rPr>
        <w:t>-AL, N-AL, V-AL, P-AL, PC-AL, SYM/H-AL (см. рис. 1).</w:t>
      </w:r>
    </w:p>
    <w:p w14:paraId="769841AC" w14:textId="77777777" w:rsidR="002B4153" w:rsidRDefault="002B4153" w:rsidP="002B4153">
      <w:pPr>
        <w:rPr>
          <w:sz w:val="20"/>
        </w:rPr>
      </w:pPr>
    </w:p>
    <w:p w14:paraId="4A1C5BD2" w14:textId="77777777" w:rsidR="002B4153" w:rsidRDefault="002B4153" w:rsidP="002B4153">
      <w:pPr>
        <w:jc w:val="center"/>
        <w:rPr>
          <w:sz w:val="20"/>
        </w:rPr>
      </w:pPr>
      <w:r>
        <w:rPr>
          <w:noProof/>
        </w:rPr>
        <w:drawing>
          <wp:inline distT="0" distB="0" distL="0" distR="0" wp14:anchorId="470FD2F1" wp14:editId="451C36AD">
            <wp:extent cx="5939790" cy="5374888"/>
            <wp:effectExtent l="0" t="0" r="3810" b="0"/>
            <wp:docPr id="4" name="Рисунок 3">
              <a:extLst xmlns:a="http://schemas.openxmlformats.org/drawingml/2006/main">
                <a:ext uri="{FF2B5EF4-FFF2-40B4-BE49-F238E27FC236}">
                  <a16:creationId xmlns:a16="http://schemas.microsoft.com/office/drawing/2014/main" id="{B8073A3F-353B-467F-80D8-1889E23E4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B8073A3F-353B-467F-80D8-1889E23E4E4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4763" cy="5379388"/>
                    </a:xfrm>
                    <a:prstGeom prst="rect">
                      <a:avLst/>
                    </a:prstGeom>
                  </pic:spPr>
                </pic:pic>
              </a:graphicData>
            </a:graphic>
          </wp:inline>
        </w:drawing>
      </w:r>
    </w:p>
    <w:p w14:paraId="3CFB5657" w14:textId="77777777" w:rsidR="002B4153" w:rsidRDefault="002B4153" w:rsidP="002B4153">
      <w:pPr>
        <w:rPr>
          <w:sz w:val="20"/>
        </w:rPr>
      </w:pPr>
    </w:p>
    <w:p w14:paraId="112C1349" w14:textId="77777777" w:rsidR="002B4153" w:rsidRDefault="002B4153" w:rsidP="002B4153">
      <w:pPr>
        <w:rPr>
          <w:sz w:val="20"/>
        </w:rPr>
      </w:pPr>
      <w:r w:rsidRPr="005B7DDA">
        <w:rPr>
          <w:b/>
          <w:sz w:val="20"/>
        </w:rPr>
        <w:t>Рис. 1.</w:t>
      </w:r>
      <w:r w:rsidRPr="005B7DDA">
        <w:rPr>
          <w:sz w:val="20"/>
        </w:rPr>
        <w:t xml:space="preserve"> Пример визуализации параметров события изолированной </w:t>
      </w:r>
      <w:proofErr w:type="spellStart"/>
      <w:r w:rsidRPr="005B7DDA">
        <w:rPr>
          <w:sz w:val="20"/>
        </w:rPr>
        <w:t>суббури</w:t>
      </w:r>
      <w:proofErr w:type="spellEnd"/>
      <w:r w:rsidRPr="005B7DDA">
        <w:rPr>
          <w:sz w:val="20"/>
        </w:rPr>
        <w:t>.</w:t>
      </w:r>
      <w:r>
        <w:rPr>
          <w:sz w:val="20"/>
        </w:rPr>
        <w:t xml:space="preserve"> </w:t>
      </w:r>
      <w:r w:rsidRPr="005B7DDA">
        <w:rPr>
          <w:sz w:val="20"/>
        </w:rPr>
        <w:t>Вертикальные метки ограничивают интервал расчета корреляции между конкретным параметром (</w:t>
      </w:r>
      <w:proofErr w:type="spellStart"/>
      <w:r w:rsidRPr="005B7DDA">
        <w:rPr>
          <w:sz w:val="20"/>
        </w:rPr>
        <w:t>Bx</w:t>
      </w:r>
      <w:proofErr w:type="spellEnd"/>
      <w:r w:rsidRPr="005B7DDA">
        <w:rPr>
          <w:sz w:val="20"/>
        </w:rPr>
        <w:t xml:space="preserve">, By, </w:t>
      </w:r>
      <w:proofErr w:type="spellStart"/>
      <w:r w:rsidRPr="005B7DDA">
        <w:rPr>
          <w:sz w:val="20"/>
        </w:rPr>
        <w:t>Bz</w:t>
      </w:r>
      <w:proofErr w:type="spellEnd"/>
      <w:r w:rsidRPr="005B7DDA">
        <w:rPr>
          <w:sz w:val="20"/>
        </w:rPr>
        <w:t>, N, V, P, PC, SYM/H) и AL-индексом.</w:t>
      </w:r>
      <w:r>
        <w:rPr>
          <w:sz w:val="20"/>
        </w:rPr>
        <w:t xml:space="preserve"> </w:t>
      </w:r>
      <w:r w:rsidRPr="005B7DDA">
        <w:rPr>
          <w:sz w:val="20"/>
        </w:rPr>
        <w:t xml:space="preserve">Интервал соответствует фазе зарождения </w:t>
      </w:r>
      <w:proofErr w:type="spellStart"/>
      <w:r w:rsidRPr="005B7DDA">
        <w:rPr>
          <w:sz w:val="20"/>
        </w:rPr>
        <w:t>суббури</w:t>
      </w:r>
      <w:proofErr w:type="spellEnd"/>
      <w:r>
        <w:rPr>
          <w:sz w:val="20"/>
        </w:rPr>
        <w:t xml:space="preserve"> </w:t>
      </w:r>
      <w:r w:rsidRPr="009A5B0D">
        <w:rPr>
          <w:sz w:val="20"/>
        </w:rPr>
        <w:t>[4]</w:t>
      </w:r>
      <w:r w:rsidRPr="005B7DDA">
        <w:rPr>
          <w:sz w:val="20"/>
        </w:rPr>
        <w:t>.</w:t>
      </w:r>
    </w:p>
    <w:p w14:paraId="62EC9C87" w14:textId="77777777" w:rsidR="002B4153" w:rsidRPr="005B7DDA" w:rsidRDefault="002B4153" w:rsidP="002B4153">
      <w:pPr>
        <w:rPr>
          <w:sz w:val="20"/>
        </w:rPr>
      </w:pPr>
    </w:p>
    <w:p w14:paraId="2A3DCC0C" w14:textId="77777777" w:rsidR="002B4153" w:rsidRPr="00B34BE1" w:rsidRDefault="002B4153" w:rsidP="002B4153">
      <w:pPr>
        <w:rPr>
          <w:b/>
          <w:sz w:val="20"/>
        </w:rPr>
      </w:pPr>
    </w:p>
    <w:p w14:paraId="1FC9BC82" w14:textId="77777777" w:rsidR="002B4153" w:rsidRDefault="002B4153" w:rsidP="002B4153">
      <w:pPr>
        <w:rPr>
          <w:b/>
          <w:iCs/>
          <w:sz w:val="20"/>
        </w:rPr>
      </w:pPr>
      <w:r>
        <w:rPr>
          <w:b/>
          <w:iCs/>
          <w:sz w:val="20"/>
        </w:rPr>
        <w:t>Р</w:t>
      </w:r>
      <w:r w:rsidRPr="004E1D6A">
        <w:rPr>
          <w:b/>
          <w:iCs/>
          <w:sz w:val="20"/>
        </w:rPr>
        <w:t xml:space="preserve">езультаты </w:t>
      </w:r>
      <w:r>
        <w:rPr>
          <w:b/>
          <w:iCs/>
          <w:sz w:val="20"/>
        </w:rPr>
        <w:t>статистического анализа</w:t>
      </w:r>
    </w:p>
    <w:p w14:paraId="19517A08" w14:textId="77777777" w:rsidR="002B4153" w:rsidRPr="00A42026" w:rsidRDefault="002B4153" w:rsidP="002B4153">
      <w:pPr>
        <w:rPr>
          <w:b/>
          <w:sz w:val="20"/>
        </w:rPr>
      </w:pPr>
    </w:p>
    <w:p w14:paraId="65C33E39" w14:textId="77777777" w:rsidR="002B4153" w:rsidRPr="00D73F26" w:rsidRDefault="002B4153" w:rsidP="002B4153">
      <w:pPr>
        <w:rPr>
          <w:iCs/>
          <w:sz w:val="20"/>
        </w:rPr>
      </w:pPr>
      <w:r w:rsidRPr="00D73F26">
        <w:rPr>
          <w:iCs/>
          <w:sz w:val="20"/>
        </w:rPr>
        <w:t xml:space="preserve">Демонстрация полученных результатов в интервале фазы зарождения </w:t>
      </w:r>
      <w:proofErr w:type="spellStart"/>
      <w:r w:rsidRPr="00D73F26">
        <w:rPr>
          <w:iCs/>
          <w:sz w:val="20"/>
        </w:rPr>
        <w:t>суббурь</w:t>
      </w:r>
      <w:proofErr w:type="spellEnd"/>
      <w:r w:rsidRPr="00D73F26">
        <w:rPr>
          <w:iCs/>
          <w:sz w:val="20"/>
        </w:rPr>
        <w:t xml:space="preserve"> анализируемых событий</w:t>
      </w:r>
      <w:r>
        <w:rPr>
          <w:iCs/>
          <w:sz w:val="20"/>
        </w:rPr>
        <w:t xml:space="preserve"> приведена ниже на графиках статистического распределения (рис. </w:t>
      </w:r>
      <w:proofErr w:type="gramStart"/>
      <w:r>
        <w:rPr>
          <w:iCs/>
          <w:sz w:val="20"/>
        </w:rPr>
        <w:t>2-9</w:t>
      </w:r>
      <w:proofErr w:type="gramEnd"/>
      <w:r>
        <w:rPr>
          <w:iCs/>
          <w:sz w:val="20"/>
        </w:rPr>
        <w:t xml:space="preserve">). </w:t>
      </w:r>
      <w:r w:rsidRPr="00D73F26">
        <w:rPr>
          <w:iCs/>
          <w:sz w:val="20"/>
        </w:rPr>
        <w:t xml:space="preserve">На рис. 2 и 3 демонстрируется распределение коэффициентов корреляции R между парами данных </w:t>
      </w:r>
      <w:proofErr w:type="spellStart"/>
      <w:r w:rsidRPr="00D73F26">
        <w:rPr>
          <w:iCs/>
          <w:sz w:val="20"/>
        </w:rPr>
        <w:t>Bx</w:t>
      </w:r>
      <w:proofErr w:type="spellEnd"/>
      <w:r w:rsidRPr="00D73F26">
        <w:rPr>
          <w:iCs/>
          <w:sz w:val="20"/>
        </w:rPr>
        <w:t>-AL и By-AL.</w:t>
      </w:r>
      <w:r w:rsidRPr="00D73F26">
        <w:t xml:space="preserve"> </w:t>
      </w:r>
      <w:r w:rsidRPr="00D73F26">
        <w:rPr>
          <w:iCs/>
          <w:sz w:val="20"/>
        </w:rPr>
        <w:t xml:space="preserve">На рис. 4 и 5 демонстрируется распределение коэффициентов корреляции R между парами данных </w:t>
      </w:r>
      <w:proofErr w:type="spellStart"/>
      <w:r w:rsidRPr="00D73F26">
        <w:rPr>
          <w:iCs/>
          <w:sz w:val="20"/>
        </w:rPr>
        <w:t>Bz</w:t>
      </w:r>
      <w:proofErr w:type="spellEnd"/>
      <w:r w:rsidRPr="00D73F26">
        <w:rPr>
          <w:iCs/>
          <w:sz w:val="20"/>
        </w:rPr>
        <w:t>-AL и Р-AL.</w:t>
      </w:r>
      <w:r w:rsidRPr="00D73F26">
        <w:t xml:space="preserve"> </w:t>
      </w:r>
      <w:r w:rsidRPr="00D73F26">
        <w:rPr>
          <w:iCs/>
          <w:sz w:val="20"/>
        </w:rPr>
        <w:t xml:space="preserve">На рис. 6 и 7 демонстрируется распределение коэффициентов корреляции R между парами данных N-AL и V-AL. </w:t>
      </w:r>
      <w:r>
        <w:rPr>
          <w:iCs/>
          <w:sz w:val="20"/>
        </w:rPr>
        <w:t>При этом можно заметить, что н</w:t>
      </w:r>
      <w:r w:rsidRPr="00D73F26">
        <w:rPr>
          <w:iCs/>
          <w:sz w:val="20"/>
        </w:rPr>
        <w:t xml:space="preserve">а рис. </w:t>
      </w:r>
      <w:proofErr w:type="gramStart"/>
      <w:r w:rsidRPr="00D73F26">
        <w:rPr>
          <w:iCs/>
          <w:sz w:val="20"/>
        </w:rPr>
        <w:t>2-7</w:t>
      </w:r>
      <w:proofErr w:type="gramEnd"/>
      <w:r w:rsidRPr="00D73F26">
        <w:rPr>
          <w:iCs/>
          <w:sz w:val="20"/>
        </w:rPr>
        <w:t xml:space="preserve"> для указанных параметров статистическое распределение наблюдается вблизи нуля. Это и не удивительно, поскольку ПСВ уже отработали к началу рассмотренного временного интервала, но вследствие инерции развития </w:t>
      </w:r>
      <w:proofErr w:type="spellStart"/>
      <w:r w:rsidRPr="00D73F26">
        <w:rPr>
          <w:iCs/>
          <w:sz w:val="20"/>
        </w:rPr>
        <w:t>суббури</w:t>
      </w:r>
      <w:proofErr w:type="spellEnd"/>
      <w:r w:rsidRPr="00D73F26">
        <w:rPr>
          <w:iCs/>
          <w:sz w:val="20"/>
        </w:rPr>
        <w:t xml:space="preserve"> индекс AL это еще не отразил на рассмотренном ограниченном интервале.</w:t>
      </w:r>
    </w:p>
    <w:p w14:paraId="0E370F30" w14:textId="77777777" w:rsidR="002B4153" w:rsidRDefault="002B4153" w:rsidP="002B4153">
      <w:pPr>
        <w:rPr>
          <w:iCs/>
          <w:sz w:val="20"/>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2B4153" w14:paraId="797C89A4" w14:textId="77777777" w:rsidTr="00B374AF">
        <w:tc>
          <w:tcPr>
            <w:tcW w:w="4677" w:type="dxa"/>
          </w:tcPr>
          <w:p w14:paraId="714E6F4A" w14:textId="77777777" w:rsidR="002B4153" w:rsidRDefault="002B4153" w:rsidP="00B374AF">
            <w:pPr>
              <w:jc w:val="center"/>
              <w:rPr>
                <w:iCs/>
                <w:sz w:val="20"/>
              </w:rPr>
            </w:pPr>
            <w:r>
              <w:rPr>
                <w:noProof/>
              </w:rPr>
              <w:drawing>
                <wp:inline distT="0" distB="0" distL="0" distR="0" wp14:anchorId="666A5D7E" wp14:editId="19919207">
                  <wp:extent cx="2520000" cy="1887123"/>
                  <wp:effectExtent l="0" t="0" r="0" b="0"/>
                  <wp:docPr id="3" name="Рисунок 2">
                    <a:extLst xmlns:a="http://schemas.openxmlformats.org/drawingml/2006/main">
                      <a:ext uri="{FF2B5EF4-FFF2-40B4-BE49-F238E27FC236}">
                        <a16:creationId xmlns:a16="http://schemas.microsoft.com/office/drawing/2014/main" id="{85C8C1A4-A681-4D15-955A-DD264C8A9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85C8C1A4-A681-4D15-955A-DD264C8A93E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000" cy="1887123"/>
                          </a:xfrm>
                          <a:prstGeom prst="rect">
                            <a:avLst/>
                          </a:prstGeom>
                        </pic:spPr>
                      </pic:pic>
                    </a:graphicData>
                  </a:graphic>
                </wp:inline>
              </w:drawing>
            </w:r>
          </w:p>
          <w:p w14:paraId="69105554" w14:textId="77777777" w:rsidR="002B4153" w:rsidRDefault="002B4153" w:rsidP="00B374AF">
            <w:pPr>
              <w:jc w:val="center"/>
              <w:rPr>
                <w:iCs/>
                <w:sz w:val="20"/>
              </w:rPr>
            </w:pPr>
            <w:r w:rsidRPr="00DC193E">
              <w:rPr>
                <w:b/>
                <w:iCs/>
                <w:sz w:val="20"/>
              </w:rPr>
              <w:t>Рис. 2.</w:t>
            </w:r>
            <w:r w:rsidRPr="00A57C3D">
              <w:rPr>
                <w:iCs/>
                <w:sz w:val="20"/>
              </w:rPr>
              <w:t xml:space="preserve"> Распределение </w:t>
            </w:r>
            <w:proofErr w:type="gramStart"/>
            <w:r w:rsidRPr="00A57C3D">
              <w:rPr>
                <w:iCs/>
                <w:sz w:val="20"/>
              </w:rPr>
              <w:t>R(</w:t>
            </w:r>
            <w:proofErr w:type="spellStart"/>
            <w:proofErr w:type="gramEnd"/>
            <w:r w:rsidRPr="00A57C3D">
              <w:rPr>
                <w:iCs/>
                <w:sz w:val="20"/>
              </w:rPr>
              <w:t>Bx</w:t>
            </w:r>
            <w:proofErr w:type="spellEnd"/>
            <w:r w:rsidRPr="00A57C3D">
              <w:rPr>
                <w:iCs/>
                <w:sz w:val="20"/>
              </w:rPr>
              <w:t>, AL)</w:t>
            </w:r>
          </w:p>
        </w:tc>
        <w:tc>
          <w:tcPr>
            <w:tcW w:w="4677" w:type="dxa"/>
          </w:tcPr>
          <w:p w14:paraId="32A663A3" w14:textId="77777777" w:rsidR="002B4153" w:rsidRDefault="002B4153" w:rsidP="00B374AF">
            <w:pPr>
              <w:jc w:val="center"/>
              <w:rPr>
                <w:iCs/>
                <w:sz w:val="20"/>
              </w:rPr>
            </w:pPr>
            <w:r>
              <w:rPr>
                <w:noProof/>
              </w:rPr>
              <w:drawing>
                <wp:inline distT="0" distB="0" distL="0" distR="0" wp14:anchorId="009BD590" wp14:editId="755C9F92">
                  <wp:extent cx="2520000" cy="1887123"/>
                  <wp:effectExtent l="0" t="0" r="0" b="0"/>
                  <wp:docPr id="8" name="Рисунок 7">
                    <a:extLst xmlns:a="http://schemas.openxmlformats.org/drawingml/2006/main">
                      <a:ext uri="{FF2B5EF4-FFF2-40B4-BE49-F238E27FC236}">
                        <a16:creationId xmlns:a16="http://schemas.microsoft.com/office/drawing/2014/main" id="{0B691398-4BAB-4DAE-A113-47276F1B62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a:extLst>
                              <a:ext uri="{FF2B5EF4-FFF2-40B4-BE49-F238E27FC236}">
                                <a16:creationId xmlns:a16="http://schemas.microsoft.com/office/drawing/2014/main" id="{0B691398-4BAB-4DAE-A113-47276F1B621B}"/>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1887123"/>
                          </a:xfrm>
                          <a:prstGeom prst="rect">
                            <a:avLst/>
                          </a:prstGeom>
                        </pic:spPr>
                      </pic:pic>
                    </a:graphicData>
                  </a:graphic>
                </wp:inline>
              </w:drawing>
            </w:r>
          </w:p>
          <w:p w14:paraId="3449422D" w14:textId="77777777" w:rsidR="002B4153" w:rsidRDefault="002B4153" w:rsidP="00B374AF">
            <w:pPr>
              <w:jc w:val="center"/>
              <w:rPr>
                <w:iCs/>
                <w:sz w:val="20"/>
              </w:rPr>
            </w:pPr>
            <w:r w:rsidRPr="00DC193E">
              <w:rPr>
                <w:b/>
                <w:iCs/>
                <w:sz w:val="20"/>
              </w:rPr>
              <w:t>Рис. 3.</w:t>
            </w:r>
            <w:r w:rsidRPr="00A57C3D">
              <w:rPr>
                <w:iCs/>
                <w:sz w:val="20"/>
              </w:rPr>
              <w:t xml:space="preserve"> Распределение </w:t>
            </w:r>
            <w:proofErr w:type="gramStart"/>
            <w:r w:rsidRPr="00A57C3D">
              <w:rPr>
                <w:iCs/>
                <w:sz w:val="20"/>
              </w:rPr>
              <w:t>R(</w:t>
            </w:r>
            <w:proofErr w:type="gramEnd"/>
            <w:r w:rsidRPr="00A57C3D">
              <w:rPr>
                <w:iCs/>
                <w:sz w:val="20"/>
              </w:rPr>
              <w:t>By, AL)</w:t>
            </w:r>
          </w:p>
        </w:tc>
      </w:tr>
      <w:tr w:rsidR="002B4153" w14:paraId="4D65DF6C" w14:textId="77777777" w:rsidTr="00B374AF">
        <w:tc>
          <w:tcPr>
            <w:tcW w:w="4677" w:type="dxa"/>
          </w:tcPr>
          <w:p w14:paraId="39B95BDA" w14:textId="77777777" w:rsidR="002B4153" w:rsidRDefault="002B4153" w:rsidP="00B374AF">
            <w:pPr>
              <w:rPr>
                <w:iCs/>
                <w:sz w:val="20"/>
              </w:rPr>
            </w:pPr>
          </w:p>
        </w:tc>
        <w:tc>
          <w:tcPr>
            <w:tcW w:w="4677" w:type="dxa"/>
          </w:tcPr>
          <w:p w14:paraId="17059D07" w14:textId="77777777" w:rsidR="002B4153" w:rsidRDefault="002B4153" w:rsidP="00B374AF">
            <w:pPr>
              <w:rPr>
                <w:iCs/>
                <w:sz w:val="20"/>
              </w:rPr>
            </w:pPr>
          </w:p>
        </w:tc>
      </w:tr>
      <w:tr w:rsidR="002B4153" w14:paraId="3A0CDFA9" w14:textId="77777777" w:rsidTr="00B374AF">
        <w:tc>
          <w:tcPr>
            <w:tcW w:w="4677" w:type="dxa"/>
          </w:tcPr>
          <w:p w14:paraId="58390FD2" w14:textId="77777777" w:rsidR="002B4153" w:rsidRDefault="002B4153" w:rsidP="00B374AF">
            <w:pPr>
              <w:jc w:val="center"/>
              <w:rPr>
                <w:iCs/>
                <w:sz w:val="20"/>
              </w:rPr>
            </w:pPr>
            <w:r>
              <w:rPr>
                <w:noProof/>
              </w:rPr>
              <w:drawing>
                <wp:inline distT="0" distB="0" distL="0" distR="0" wp14:anchorId="7D628EF6" wp14:editId="4913608A">
                  <wp:extent cx="2520000" cy="1887123"/>
                  <wp:effectExtent l="0" t="0" r="0" b="0"/>
                  <wp:docPr id="11" name="Рисунок 10">
                    <a:extLst xmlns:a="http://schemas.openxmlformats.org/drawingml/2006/main">
                      <a:ext uri="{FF2B5EF4-FFF2-40B4-BE49-F238E27FC236}">
                        <a16:creationId xmlns:a16="http://schemas.microsoft.com/office/drawing/2014/main" id="{3B3906F6-5687-4AE1-BEAE-476518EAF3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a:extLst>
                              <a:ext uri="{FF2B5EF4-FFF2-40B4-BE49-F238E27FC236}">
                                <a16:creationId xmlns:a16="http://schemas.microsoft.com/office/drawing/2014/main" id="{3B3906F6-5687-4AE1-BEAE-476518EAF35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887123"/>
                          </a:xfrm>
                          <a:prstGeom prst="rect">
                            <a:avLst/>
                          </a:prstGeom>
                        </pic:spPr>
                      </pic:pic>
                    </a:graphicData>
                  </a:graphic>
                </wp:inline>
              </w:drawing>
            </w:r>
          </w:p>
          <w:p w14:paraId="2020C01C" w14:textId="77777777" w:rsidR="002B4153" w:rsidRDefault="002B4153" w:rsidP="00B374AF">
            <w:pPr>
              <w:jc w:val="center"/>
              <w:rPr>
                <w:iCs/>
                <w:sz w:val="20"/>
              </w:rPr>
            </w:pPr>
            <w:r w:rsidRPr="00DC193E">
              <w:rPr>
                <w:b/>
                <w:iCs/>
                <w:sz w:val="20"/>
              </w:rPr>
              <w:t>Рис. 4.</w:t>
            </w:r>
            <w:r w:rsidRPr="00A57C3D">
              <w:rPr>
                <w:iCs/>
                <w:sz w:val="20"/>
              </w:rPr>
              <w:t xml:space="preserve"> Распределение </w:t>
            </w:r>
            <w:proofErr w:type="gramStart"/>
            <w:r w:rsidRPr="00A57C3D">
              <w:rPr>
                <w:iCs/>
                <w:sz w:val="20"/>
              </w:rPr>
              <w:t>R(</w:t>
            </w:r>
            <w:proofErr w:type="spellStart"/>
            <w:proofErr w:type="gramEnd"/>
            <w:r w:rsidRPr="00A57C3D">
              <w:rPr>
                <w:iCs/>
                <w:sz w:val="20"/>
              </w:rPr>
              <w:t>Bz</w:t>
            </w:r>
            <w:proofErr w:type="spellEnd"/>
            <w:r w:rsidRPr="00A57C3D">
              <w:rPr>
                <w:iCs/>
                <w:sz w:val="20"/>
              </w:rPr>
              <w:t>, AL)</w:t>
            </w:r>
          </w:p>
        </w:tc>
        <w:tc>
          <w:tcPr>
            <w:tcW w:w="4677" w:type="dxa"/>
          </w:tcPr>
          <w:p w14:paraId="2376BD54" w14:textId="77777777" w:rsidR="002B4153" w:rsidRDefault="002B4153" w:rsidP="00B374AF">
            <w:pPr>
              <w:jc w:val="center"/>
              <w:rPr>
                <w:iCs/>
                <w:sz w:val="20"/>
              </w:rPr>
            </w:pPr>
            <w:r>
              <w:rPr>
                <w:noProof/>
              </w:rPr>
              <w:drawing>
                <wp:inline distT="0" distB="0" distL="0" distR="0" wp14:anchorId="076B5AA3" wp14:editId="3C80E426">
                  <wp:extent cx="2520000" cy="1887123"/>
                  <wp:effectExtent l="0" t="0" r="0" b="0"/>
                  <wp:docPr id="13" name="Рисунок 12">
                    <a:extLst xmlns:a="http://schemas.openxmlformats.org/drawingml/2006/main">
                      <a:ext uri="{FF2B5EF4-FFF2-40B4-BE49-F238E27FC236}">
                        <a16:creationId xmlns:a16="http://schemas.microsoft.com/office/drawing/2014/main" id="{69D2A70E-230F-49B6-B171-AAF88D2F8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69D2A70E-230F-49B6-B171-AAF88D2F80F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1887123"/>
                          </a:xfrm>
                          <a:prstGeom prst="rect">
                            <a:avLst/>
                          </a:prstGeom>
                        </pic:spPr>
                      </pic:pic>
                    </a:graphicData>
                  </a:graphic>
                </wp:inline>
              </w:drawing>
            </w:r>
          </w:p>
          <w:p w14:paraId="1D49FA1D" w14:textId="77777777" w:rsidR="002B4153" w:rsidRDefault="002B4153" w:rsidP="00B374AF">
            <w:pPr>
              <w:jc w:val="center"/>
              <w:rPr>
                <w:iCs/>
                <w:sz w:val="20"/>
              </w:rPr>
            </w:pPr>
            <w:r w:rsidRPr="00DC193E">
              <w:rPr>
                <w:b/>
                <w:iCs/>
                <w:sz w:val="20"/>
              </w:rPr>
              <w:t>Рис. 5.</w:t>
            </w:r>
            <w:r w:rsidRPr="00A57C3D">
              <w:rPr>
                <w:iCs/>
                <w:sz w:val="20"/>
              </w:rPr>
              <w:t xml:space="preserve"> Распределение </w:t>
            </w:r>
            <w:proofErr w:type="gramStart"/>
            <w:r w:rsidRPr="00A57C3D">
              <w:rPr>
                <w:iCs/>
                <w:sz w:val="20"/>
              </w:rPr>
              <w:t>R(</w:t>
            </w:r>
            <w:proofErr w:type="gramEnd"/>
            <w:r w:rsidRPr="00A57C3D">
              <w:rPr>
                <w:iCs/>
                <w:sz w:val="20"/>
              </w:rPr>
              <w:t>P, AL)</w:t>
            </w:r>
          </w:p>
        </w:tc>
      </w:tr>
      <w:tr w:rsidR="002B4153" w14:paraId="6EE7CE1E" w14:textId="77777777" w:rsidTr="00B374AF">
        <w:tc>
          <w:tcPr>
            <w:tcW w:w="4677" w:type="dxa"/>
          </w:tcPr>
          <w:p w14:paraId="1AED27EB" w14:textId="77777777" w:rsidR="002B4153" w:rsidRDefault="002B4153" w:rsidP="00B374AF">
            <w:pPr>
              <w:rPr>
                <w:iCs/>
                <w:sz w:val="20"/>
              </w:rPr>
            </w:pPr>
          </w:p>
        </w:tc>
        <w:tc>
          <w:tcPr>
            <w:tcW w:w="4677" w:type="dxa"/>
          </w:tcPr>
          <w:p w14:paraId="17212DD4" w14:textId="77777777" w:rsidR="002B4153" w:rsidRDefault="002B4153" w:rsidP="00B374AF">
            <w:pPr>
              <w:rPr>
                <w:iCs/>
                <w:sz w:val="20"/>
              </w:rPr>
            </w:pPr>
          </w:p>
        </w:tc>
      </w:tr>
      <w:tr w:rsidR="002B4153" w14:paraId="72C7FC10" w14:textId="77777777" w:rsidTr="00B374AF">
        <w:tc>
          <w:tcPr>
            <w:tcW w:w="4677" w:type="dxa"/>
          </w:tcPr>
          <w:p w14:paraId="4DDB4644" w14:textId="77777777" w:rsidR="002B4153" w:rsidRDefault="002B4153" w:rsidP="00B374AF">
            <w:pPr>
              <w:jc w:val="center"/>
              <w:rPr>
                <w:iCs/>
                <w:sz w:val="20"/>
              </w:rPr>
            </w:pPr>
            <w:r>
              <w:rPr>
                <w:noProof/>
              </w:rPr>
              <w:drawing>
                <wp:inline distT="0" distB="0" distL="0" distR="0" wp14:anchorId="37BD63D7" wp14:editId="77AC075E">
                  <wp:extent cx="2520000" cy="1887122"/>
                  <wp:effectExtent l="0" t="0" r="0" b="0"/>
                  <wp:docPr id="9" name="Рисунок 3">
                    <a:extLst xmlns:a="http://schemas.openxmlformats.org/drawingml/2006/main">
                      <a:ext uri="{FF2B5EF4-FFF2-40B4-BE49-F238E27FC236}">
                        <a16:creationId xmlns:a16="http://schemas.microsoft.com/office/drawing/2014/main" id="{C6142BC3-FF22-4EAE-8946-F8AB3A1EF4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C6142BC3-FF22-4EAE-8946-F8AB3A1EF4D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1887122"/>
                          </a:xfrm>
                          <a:prstGeom prst="rect">
                            <a:avLst/>
                          </a:prstGeom>
                        </pic:spPr>
                      </pic:pic>
                    </a:graphicData>
                  </a:graphic>
                </wp:inline>
              </w:drawing>
            </w:r>
          </w:p>
          <w:p w14:paraId="702371CC" w14:textId="77777777" w:rsidR="002B4153" w:rsidRDefault="002B4153" w:rsidP="00B374AF">
            <w:pPr>
              <w:jc w:val="center"/>
              <w:rPr>
                <w:iCs/>
                <w:sz w:val="20"/>
              </w:rPr>
            </w:pPr>
            <w:r w:rsidRPr="00DC193E">
              <w:rPr>
                <w:b/>
                <w:iCs/>
                <w:sz w:val="20"/>
              </w:rPr>
              <w:t>Рис. 6.</w:t>
            </w:r>
            <w:r w:rsidRPr="00A57C3D">
              <w:rPr>
                <w:iCs/>
                <w:sz w:val="20"/>
              </w:rPr>
              <w:t xml:space="preserve"> Распределение </w:t>
            </w:r>
            <w:proofErr w:type="gramStart"/>
            <w:r w:rsidRPr="00A57C3D">
              <w:rPr>
                <w:iCs/>
                <w:sz w:val="20"/>
              </w:rPr>
              <w:t>R(</w:t>
            </w:r>
            <w:proofErr w:type="gramEnd"/>
            <w:r w:rsidRPr="00A57C3D">
              <w:rPr>
                <w:iCs/>
                <w:sz w:val="20"/>
              </w:rPr>
              <w:t>N, AL)</w:t>
            </w:r>
          </w:p>
        </w:tc>
        <w:tc>
          <w:tcPr>
            <w:tcW w:w="4677" w:type="dxa"/>
          </w:tcPr>
          <w:p w14:paraId="1AD189CF" w14:textId="77777777" w:rsidR="002B4153" w:rsidRDefault="002B4153" w:rsidP="00B374AF">
            <w:pPr>
              <w:jc w:val="center"/>
              <w:rPr>
                <w:iCs/>
                <w:sz w:val="20"/>
              </w:rPr>
            </w:pPr>
            <w:r>
              <w:rPr>
                <w:noProof/>
              </w:rPr>
              <w:drawing>
                <wp:inline distT="0" distB="0" distL="0" distR="0" wp14:anchorId="1DA3A04E" wp14:editId="29498D41">
                  <wp:extent cx="2520000" cy="1887123"/>
                  <wp:effectExtent l="0" t="0" r="0" b="0"/>
                  <wp:docPr id="7" name="Рисунок 6">
                    <a:extLst xmlns:a="http://schemas.openxmlformats.org/drawingml/2006/main">
                      <a:ext uri="{FF2B5EF4-FFF2-40B4-BE49-F238E27FC236}">
                        <a16:creationId xmlns:a16="http://schemas.microsoft.com/office/drawing/2014/main" id="{BFB3D853-68DC-46E8-952E-4903A589E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BFB3D853-68DC-46E8-952E-4903A589EC9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1887123"/>
                          </a:xfrm>
                          <a:prstGeom prst="rect">
                            <a:avLst/>
                          </a:prstGeom>
                        </pic:spPr>
                      </pic:pic>
                    </a:graphicData>
                  </a:graphic>
                </wp:inline>
              </w:drawing>
            </w:r>
          </w:p>
          <w:p w14:paraId="73A096D9" w14:textId="77777777" w:rsidR="002B4153" w:rsidRPr="00A57C3D" w:rsidRDefault="002B4153" w:rsidP="00B374AF">
            <w:pPr>
              <w:jc w:val="center"/>
              <w:rPr>
                <w:sz w:val="20"/>
              </w:rPr>
            </w:pPr>
            <w:r w:rsidRPr="00DC193E">
              <w:rPr>
                <w:b/>
                <w:sz w:val="20"/>
              </w:rPr>
              <w:t>Рис. 7.</w:t>
            </w:r>
            <w:r w:rsidRPr="00A57C3D">
              <w:rPr>
                <w:sz w:val="20"/>
              </w:rPr>
              <w:t xml:space="preserve"> Распределение </w:t>
            </w:r>
            <w:proofErr w:type="gramStart"/>
            <w:r w:rsidRPr="00A57C3D">
              <w:rPr>
                <w:sz w:val="20"/>
              </w:rPr>
              <w:t>R(</w:t>
            </w:r>
            <w:proofErr w:type="gramEnd"/>
            <w:r w:rsidRPr="00A57C3D">
              <w:rPr>
                <w:sz w:val="20"/>
              </w:rPr>
              <w:t>V, AL)</w:t>
            </w:r>
          </w:p>
        </w:tc>
      </w:tr>
      <w:tr w:rsidR="002B4153" w14:paraId="0D8D8942" w14:textId="77777777" w:rsidTr="00B374AF">
        <w:tc>
          <w:tcPr>
            <w:tcW w:w="4677" w:type="dxa"/>
          </w:tcPr>
          <w:p w14:paraId="7D1DEE1D" w14:textId="77777777" w:rsidR="002B4153" w:rsidRDefault="002B4153" w:rsidP="00B374AF">
            <w:pPr>
              <w:jc w:val="center"/>
              <w:rPr>
                <w:iCs/>
                <w:sz w:val="20"/>
              </w:rPr>
            </w:pPr>
            <w:r>
              <w:rPr>
                <w:noProof/>
              </w:rPr>
              <w:lastRenderedPageBreak/>
              <w:drawing>
                <wp:inline distT="0" distB="0" distL="0" distR="0" wp14:anchorId="05BCC3F1" wp14:editId="35B5B969">
                  <wp:extent cx="2520000" cy="1887123"/>
                  <wp:effectExtent l="0" t="0" r="0" b="0"/>
                  <wp:docPr id="12" name="Рисунок 11">
                    <a:extLst xmlns:a="http://schemas.openxmlformats.org/drawingml/2006/main">
                      <a:ext uri="{FF2B5EF4-FFF2-40B4-BE49-F238E27FC236}">
                        <a16:creationId xmlns:a16="http://schemas.microsoft.com/office/drawing/2014/main" id="{85E97FEB-C179-4EA3-B58F-61144B683B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85E97FEB-C179-4EA3-B58F-61144B683BA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887123"/>
                          </a:xfrm>
                          <a:prstGeom prst="rect">
                            <a:avLst/>
                          </a:prstGeom>
                        </pic:spPr>
                      </pic:pic>
                    </a:graphicData>
                  </a:graphic>
                </wp:inline>
              </w:drawing>
            </w:r>
          </w:p>
          <w:p w14:paraId="0044DBEE" w14:textId="77777777" w:rsidR="002B4153" w:rsidRDefault="002B4153" w:rsidP="00B374AF">
            <w:pPr>
              <w:jc w:val="center"/>
              <w:rPr>
                <w:iCs/>
                <w:sz w:val="20"/>
              </w:rPr>
            </w:pPr>
            <w:r w:rsidRPr="00DC193E">
              <w:rPr>
                <w:b/>
                <w:iCs/>
                <w:sz w:val="20"/>
              </w:rPr>
              <w:t>Рис. 8.</w:t>
            </w:r>
            <w:r w:rsidRPr="00A57C3D">
              <w:rPr>
                <w:iCs/>
                <w:sz w:val="20"/>
              </w:rPr>
              <w:t xml:space="preserve"> Распределение </w:t>
            </w:r>
            <w:proofErr w:type="gramStart"/>
            <w:r w:rsidRPr="00A57C3D">
              <w:rPr>
                <w:iCs/>
                <w:sz w:val="20"/>
              </w:rPr>
              <w:t>R(</w:t>
            </w:r>
            <w:proofErr w:type="gramEnd"/>
            <w:r w:rsidRPr="00A57C3D">
              <w:rPr>
                <w:iCs/>
                <w:sz w:val="20"/>
              </w:rPr>
              <w:t>PC, AL)</w:t>
            </w:r>
          </w:p>
        </w:tc>
        <w:tc>
          <w:tcPr>
            <w:tcW w:w="4677" w:type="dxa"/>
          </w:tcPr>
          <w:p w14:paraId="6CB5E3A5" w14:textId="77777777" w:rsidR="002B4153" w:rsidRDefault="002B4153" w:rsidP="00B374AF">
            <w:pPr>
              <w:jc w:val="center"/>
              <w:rPr>
                <w:iCs/>
                <w:sz w:val="20"/>
              </w:rPr>
            </w:pPr>
            <w:r>
              <w:rPr>
                <w:noProof/>
              </w:rPr>
              <w:drawing>
                <wp:inline distT="0" distB="0" distL="0" distR="0" wp14:anchorId="1796C837" wp14:editId="0E8B9C02">
                  <wp:extent cx="2520000" cy="1887122"/>
                  <wp:effectExtent l="0" t="0" r="0" b="0"/>
                  <wp:docPr id="2" name="Рисунок 1">
                    <a:extLst xmlns:a="http://schemas.openxmlformats.org/drawingml/2006/main">
                      <a:ext uri="{FF2B5EF4-FFF2-40B4-BE49-F238E27FC236}">
                        <a16:creationId xmlns:a16="http://schemas.microsoft.com/office/drawing/2014/main" id="{75DAE436-E02F-E8D6-12EC-00630B8499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75DAE436-E02F-E8D6-12EC-00630B84997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1887122"/>
                          </a:xfrm>
                          <a:prstGeom prst="rect">
                            <a:avLst/>
                          </a:prstGeom>
                        </pic:spPr>
                      </pic:pic>
                    </a:graphicData>
                  </a:graphic>
                </wp:inline>
              </w:drawing>
            </w:r>
          </w:p>
          <w:p w14:paraId="18EB14E6" w14:textId="77777777" w:rsidR="002B4153" w:rsidRDefault="002B4153" w:rsidP="00B374AF">
            <w:pPr>
              <w:jc w:val="center"/>
              <w:rPr>
                <w:iCs/>
                <w:sz w:val="20"/>
              </w:rPr>
            </w:pPr>
            <w:r w:rsidRPr="00DC193E">
              <w:rPr>
                <w:b/>
                <w:iCs/>
                <w:sz w:val="20"/>
              </w:rPr>
              <w:t>Рис. 9.</w:t>
            </w:r>
            <w:r w:rsidRPr="00A57C3D">
              <w:rPr>
                <w:iCs/>
                <w:sz w:val="20"/>
              </w:rPr>
              <w:t xml:space="preserve"> Распределение </w:t>
            </w:r>
            <w:proofErr w:type="gramStart"/>
            <w:r w:rsidRPr="00A57C3D">
              <w:rPr>
                <w:iCs/>
                <w:sz w:val="20"/>
              </w:rPr>
              <w:t>R(</w:t>
            </w:r>
            <w:proofErr w:type="spellStart"/>
            <w:proofErr w:type="gramEnd"/>
            <w:r w:rsidRPr="00A57C3D">
              <w:rPr>
                <w:iCs/>
                <w:sz w:val="20"/>
              </w:rPr>
              <w:t>SymH</w:t>
            </w:r>
            <w:proofErr w:type="spellEnd"/>
            <w:r w:rsidRPr="00A57C3D">
              <w:rPr>
                <w:iCs/>
                <w:sz w:val="20"/>
              </w:rPr>
              <w:t>, AL)</w:t>
            </w:r>
          </w:p>
        </w:tc>
      </w:tr>
    </w:tbl>
    <w:p w14:paraId="09D76A51" w14:textId="77777777" w:rsidR="002B4153" w:rsidRDefault="002B4153" w:rsidP="002B4153">
      <w:pPr>
        <w:rPr>
          <w:iCs/>
          <w:sz w:val="20"/>
        </w:rPr>
      </w:pPr>
    </w:p>
    <w:p w14:paraId="281667E4" w14:textId="77777777" w:rsidR="002B4153" w:rsidRPr="00F65108" w:rsidRDefault="002B4153" w:rsidP="002B4153">
      <w:pPr>
        <w:rPr>
          <w:iCs/>
          <w:sz w:val="20"/>
        </w:rPr>
      </w:pPr>
      <w:r w:rsidRPr="00D73F26">
        <w:rPr>
          <w:iCs/>
          <w:sz w:val="20"/>
        </w:rPr>
        <w:t xml:space="preserve">На рис. 8 и 9 демонстрируется распределение коэффициентов корреляции R между парами данных PC-AL и </w:t>
      </w:r>
      <w:proofErr w:type="spellStart"/>
      <w:r w:rsidRPr="00D73F26">
        <w:rPr>
          <w:iCs/>
          <w:sz w:val="20"/>
        </w:rPr>
        <w:t>SymH</w:t>
      </w:r>
      <w:proofErr w:type="spellEnd"/>
      <w:r w:rsidRPr="00D73F26">
        <w:rPr>
          <w:iCs/>
          <w:sz w:val="20"/>
        </w:rPr>
        <w:t xml:space="preserve">-AL. Для индекса РС наблюдается заметная группировка в области высокой </w:t>
      </w:r>
      <w:proofErr w:type="spellStart"/>
      <w:r w:rsidRPr="00D73F26">
        <w:rPr>
          <w:iCs/>
          <w:sz w:val="20"/>
        </w:rPr>
        <w:t>антикорреляции</w:t>
      </w:r>
      <w:proofErr w:type="spellEnd"/>
      <w:r w:rsidRPr="00D73F26">
        <w:rPr>
          <w:iCs/>
          <w:sz w:val="20"/>
        </w:rPr>
        <w:t xml:space="preserve"> с индексом AL, для SYM-H напротив в области высокой корреляции с индексом AL. Это означает, что магнитосферные процессы были запущены и заметны даже на ограниченном рассмотренном временном интервале.</w:t>
      </w:r>
    </w:p>
    <w:p w14:paraId="7E9C4DB9" w14:textId="77777777" w:rsidR="002B4153" w:rsidRDefault="002B4153" w:rsidP="002B4153">
      <w:pPr>
        <w:rPr>
          <w:iCs/>
          <w:sz w:val="20"/>
        </w:rPr>
      </w:pPr>
    </w:p>
    <w:p w14:paraId="4D5E9F61" w14:textId="77777777" w:rsidR="002B4153" w:rsidRPr="00A666E8" w:rsidRDefault="002B4153" w:rsidP="002B4153">
      <w:pPr>
        <w:rPr>
          <w:iCs/>
          <w:sz w:val="20"/>
        </w:rPr>
      </w:pPr>
    </w:p>
    <w:p w14:paraId="421518BE" w14:textId="77777777" w:rsidR="002B4153" w:rsidRPr="00A666E8" w:rsidRDefault="002B4153" w:rsidP="002B4153">
      <w:pPr>
        <w:rPr>
          <w:b/>
          <w:iCs/>
          <w:sz w:val="20"/>
        </w:rPr>
      </w:pPr>
      <w:r w:rsidRPr="00A666E8">
        <w:rPr>
          <w:b/>
          <w:iCs/>
          <w:sz w:val="20"/>
        </w:rPr>
        <w:t>Обсуждение результатов</w:t>
      </w:r>
    </w:p>
    <w:p w14:paraId="3E62F5F5" w14:textId="77777777" w:rsidR="002B4153" w:rsidRDefault="002B4153" w:rsidP="002B4153">
      <w:pPr>
        <w:rPr>
          <w:iCs/>
          <w:sz w:val="20"/>
        </w:rPr>
      </w:pPr>
    </w:p>
    <w:p w14:paraId="75829609" w14:textId="77777777" w:rsidR="002B4153" w:rsidRPr="00A666E8" w:rsidRDefault="002B4153" w:rsidP="002B4153">
      <w:pPr>
        <w:rPr>
          <w:sz w:val="20"/>
        </w:rPr>
      </w:pPr>
      <w:r w:rsidRPr="00A57C3D">
        <w:rPr>
          <w:iCs/>
          <w:sz w:val="20"/>
        </w:rPr>
        <w:t xml:space="preserve">Установленная высокая </w:t>
      </w:r>
      <w:proofErr w:type="spellStart"/>
      <w:r w:rsidRPr="00A57C3D">
        <w:rPr>
          <w:iCs/>
          <w:sz w:val="20"/>
        </w:rPr>
        <w:t>антикорреляция</w:t>
      </w:r>
      <w:proofErr w:type="spellEnd"/>
      <w:r w:rsidRPr="00A57C3D">
        <w:rPr>
          <w:iCs/>
          <w:sz w:val="20"/>
        </w:rPr>
        <w:t xml:space="preserve"> индекса РС с индексом AL свидетельствует об увеличении значений PC-индекса в фазе зарождения </w:t>
      </w:r>
      <w:proofErr w:type="spellStart"/>
      <w:r w:rsidRPr="00A57C3D">
        <w:rPr>
          <w:iCs/>
          <w:sz w:val="20"/>
        </w:rPr>
        <w:t>суббури</w:t>
      </w:r>
      <w:proofErr w:type="spellEnd"/>
      <w:r w:rsidRPr="00A57C3D">
        <w:rPr>
          <w:iCs/>
          <w:sz w:val="20"/>
        </w:rPr>
        <w:t xml:space="preserve"> и может указывать на накопление энергии в магнитосфере перед её разрядкой в виде </w:t>
      </w:r>
      <w:proofErr w:type="spellStart"/>
      <w:r w:rsidRPr="00A57C3D">
        <w:rPr>
          <w:iCs/>
          <w:sz w:val="20"/>
        </w:rPr>
        <w:t>суббури</w:t>
      </w:r>
      <w:proofErr w:type="spellEnd"/>
      <w:r w:rsidRPr="00A57C3D">
        <w:rPr>
          <w:iCs/>
          <w:sz w:val="20"/>
        </w:rPr>
        <w:t xml:space="preserve"> [</w:t>
      </w:r>
      <w:r>
        <w:rPr>
          <w:iCs/>
          <w:sz w:val="20"/>
        </w:rPr>
        <w:t>5</w:t>
      </w:r>
      <w:r w:rsidRPr="00A57C3D">
        <w:rPr>
          <w:iCs/>
          <w:sz w:val="20"/>
        </w:rPr>
        <w:t>].</w:t>
      </w:r>
      <w:r>
        <w:rPr>
          <w:iCs/>
          <w:sz w:val="20"/>
        </w:rPr>
        <w:t xml:space="preserve"> </w:t>
      </w:r>
      <w:r w:rsidRPr="00A57C3D">
        <w:rPr>
          <w:iCs/>
          <w:sz w:val="20"/>
        </w:rPr>
        <w:t xml:space="preserve">Поскольку РС-индекс фиксирует изменения в электродинамических процессах в полярных областях, то </w:t>
      </w:r>
      <w:proofErr w:type="spellStart"/>
      <w:r w:rsidRPr="00A57C3D">
        <w:rPr>
          <w:iCs/>
          <w:sz w:val="20"/>
        </w:rPr>
        <w:t>суббуревой</w:t>
      </w:r>
      <w:proofErr w:type="spellEnd"/>
      <w:r w:rsidRPr="00A57C3D">
        <w:rPr>
          <w:iCs/>
          <w:sz w:val="20"/>
        </w:rPr>
        <w:t xml:space="preserve"> индекс AL в свою очередь начинает фиксировать перераспределения токов и плазмы в магнитосфере.</w:t>
      </w:r>
      <w:r>
        <w:rPr>
          <w:iCs/>
          <w:sz w:val="20"/>
        </w:rPr>
        <w:t xml:space="preserve"> </w:t>
      </w:r>
      <w:r w:rsidRPr="00A57C3D">
        <w:rPr>
          <w:iCs/>
          <w:sz w:val="20"/>
        </w:rPr>
        <w:t xml:space="preserve">Установленная высокая корреляция значений SYM-H с индексом AL обусловлена изначальным выбором изолированных </w:t>
      </w:r>
      <w:proofErr w:type="spellStart"/>
      <w:r w:rsidRPr="00A57C3D">
        <w:rPr>
          <w:iCs/>
          <w:sz w:val="20"/>
        </w:rPr>
        <w:t>суббуревых</w:t>
      </w:r>
      <w:proofErr w:type="spellEnd"/>
      <w:r w:rsidRPr="00A57C3D">
        <w:rPr>
          <w:iCs/>
          <w:sz w:val="20"/>
        </w:rPr>
        <w:t xml:space="preserve"> событий, происходящих на фоне глобальных магнитосферных возмущений, когда энергия перераспределяется по всей магнитосфере.</w:t>
      </w:r>
      <w:r>
        <w:rPr>
          <w:iCs/>
          <w:sz w:val="20"/>
        </w:rPr>
        <w:t xml:space="preserve"> </w:t>
      </w:r>
      <w:r w:rsidRPr="00A57C3D">
        <w:rPr>
          <w:iCs/>
          <w:sz w:val="20"/>
        </w:rPr>
        <w:t xml:space="preserve">Таким образом, настоящее исследование, направленное на статистический анализ возможных триггерных механизмов </w:t>
      </w:r>
      <w:proofErr w:type="spellStart"/>
      <w:r w:rsidRPr="00A57C3D">
        <w:rPr>
          <w:iCs/>
          <w:sz w:val="20"/>
        </w:rPr>
        <w:t>суббурь</w:t>
      </w:r>
      <w:proofErr w:type="spellEnd"/>
      <w:r w:rsidRPr="00A57C3D">
        <w:rPr>
          <w:iCs/>
          <w:sz w:val="20"/>
        </w:rPr>
        <w:t>, призвано заполнить пробел в знаниях о прогнозе таких событий, уточнить условия внешних и внутренних воздействий, а также внести вклад в сдерживание технологических и инфраструктурных рисков, связанных с космической погодой.</w:t>
      </w:r>
    </w:p>
    <w:p w14:paraId="2DC2D5E6" w14:textId="77777777" w:rsidR="002B4153" w:rsidRPr="00A42026" w:rsidRDefault="002B4153" w:rsidP="002B4153">
      <w:pPr>
        <w:rPr>
          <w:sz w:val="20"/>
        </w:rPr>
      </w:pPr>
    </w:p>
    <w:p w14:paraId="2694B17F" w14:textId="77777777" w:rsidR="002B4153" w:rsidRPr="00A42026" w:rsidRDefault="002B4153" w:rsidP="002B4153">
      <w:pPr>
        <w:rPr>
          <w:sz w:val="20"/>
        </w:rPr>
      </w:pPr>
    </w:p>
    <w:p w14:paraId="316A1FEB" w14:textId="77777777" w:rsidR="002B4153" w:rsidRPr="003023CB" w:rsidRDefault="002B4153" w:rsidP="002B4153">
      <w:pPr>
        <w:rPr>
          <w:b/>
          <w:sz w:val="20"/>
          <w:lang w:val="en-US"/>
        </w:rPr>
      </w:pPr>
      <w:r w:rsidRPr="00A42026">
        <w:rPr>
          <w:b/>
          <w:sz w:val="20"/>
        </w:rPr>
        <w:t>Список</w:t>
      </w:r>
      <w:r w:rsidRPr="003023CB">
        <w:rPr>
          <w:b/>
          <w:sz w:val="20"/>
          <w:lang w:val="en-US"/>
        </w:rPr>
        <w:t xml:space="preserve"> </w:t>
      </w:r>
      <w:r w:rsidRPr="00A42026">
        <w:rPr>
          <w:b/>
          <w:sz w:val="20"/>
        </w:rPr>
        <w:t>литературы</w:t>
      </w:r>
    </w:p>
    <w:p w14:paraId="4F57387C" w14:textId="77777777" w:rsidR="002B4153" w:rsidRDefault="002B4153" w:rsidP="002B4153">
      <w:pPr>
        <w:jc w:val="left"/>
        <w:rPr>
          <w:sz w:val="20"/>
          <w:lang w:val="en-US"/>
        </w:rPr>
      </w:pPr>
    </w:p>
    <w:p w14:paraId="601EDD23" w14:textId="77777777" w:rsidR="002B4153" w:rsidRPr="00A57C3D" w:rsidRDefault="002B4153" w:rsidP="002B4153">
      <w:pPr>
        <w:pStyle w:val="a7"/>
        <w:numPr>
          <w:ilvl w:val="0"/>
          <w:numId w:val="1"/>
        </w:numPr>
        <w:rPr>
          <w:sz w:val="20"/>
          <w:lang w:val="en-US"/>
        </w:rPr>
      </w:pPr>
      <w:r w:rsidRPr="00A57C3D">
        <w:rPr>
          <w:sz w:val="20"/>
          <w:lang w:val="en-US"/>
        </w:rPr>
        <w:t xml:space="preserve">Hsu, T.-S., and R. L. McPherron, Occurrence frequencies of IMF triggered and </w:t>
      </w:r>
      <w:proofErr w:type="spellStart"/>
      <w:r w:rsidRPr="00A57C3D">
        <w:rPr>
          <w:sz w:val="20"/>
          <w:lang w:val="en-US"/>
        </w:rPr>
        <w:t>nontriggered</w:t>
      </w:r>
      <w:proofErr w:type="spellEnd"/>
      <w:r w:rsidRPr="00A57C3D">
        <w:rPr>
          <w:sz w:val="20"/>
          <w:lang w:val="en-US"/>
        </w:rPr>
        <w:t xml:space="preserve"> substorms // J. Geophys. Res.,108(A7), 1307, doi:10.1029/2002JA009442. 2003</w:t>
      </w:r>
    </w:p>
    <w:p w14:paraId="1B167DBB" w14:textId="77777777" w:rsidR="002B4153" w:rsidRPr="00A57C3D" w:rsidRDefault="002B4153" w:rsidP="002B4153">
      <w:pPr>
        <w:pStyle w:val="a7"/>
        <w:numPr>
          <w:ilvl w:val="0"/>
          <w:numId w:val="1"/>
        </w:numPr>
        <w:rPr>
          <w:sz w:val="20"/>
          <w:lang w:val="en-US"/>
        </w:rPr>
      </w:pPr>
      <w:r w:rsidRPr="00A57C3D">
        <w:rPr>
          <w:sz w:val="20"/>
          <w:lang w:val="en-US"/>
        </w:rPr>
        <w:t xml:space="preserve">Lin, N., H. U. Frey, S. B. Mende, F. S. Mozer, R. L. Lysak, Y. Song, and V. Angelopoulos, Statistical study </w:t>
      </w:r>
      <w:proofErr w:type="spellStart"/>
      <w:r w:rsidRPr="00A57C3D">
        <w:rPr>
          <w:sz w:val="20"/>
          <w:lang w:val="en-US"/>
        </w:rPr>
        <w:t>ofsubstorm</w:t>
      </w:r>
      <w:proofErr w:type="spellEnd"/>
      <w:r w:rsidRPr="00A57C3D">
        <w:rPr>
          <w:sz w:val="20"/>
          <w:lang w:val="en-US"/>
        </w:rPr>
        <w:t xml:space="preserve"> timing sequence // J. Geophys. Res., 114, A12204, doi:10.1029/2009JA014381. 2009</w:t>
      </w:r>
    </w:p>
    <w:p w14:paraId="48E225A2" w14:textId="77777777" w:rsidR="002B4153" w:rsidRPr="00A57C3D" w:rsidRDefault="002B4153" w:rsidP="002B4153">
      <w:pPr>
        <w:pStyle w:val="a7"/>
        <w:numPr>
          <w:ilvl w:val="0"/>
          <w:numId w:val="1"/>
        </w:numPr>
        <w:rPr>
          <w:sz w:val="20"/>
        </w:rPr>
      </w:pPr>
      <w:r w:rsidRPr="00A57C3D">
        <w:rPr>
          <w:sz w:val="20"/>
          <w:lang w:val="en-US"/>
        </w:rPr>
        <w:t xml:space="preserve">Fu, H., Yue, C., Zong, Q.-G., </w:t>
      </w:r>
      <w:proofErr w:type="spellStart"/>
      <w:proofErr w:type="gramStart"/>
      <w:r w:rsidRPr="00A57C3D">
        <w:rPr>
          <w:sz w:val="20"/>
          <w:lang w:val="en-US"/>
        </w:rPr>
        <w:t>Zhou,X</w:t>
      </w:r>
      <w:proofErr w:type="spellEnd"/>
      <w:r w:rsidRPr="00A57C3D">
        <w:rPr>
          <w:sz w:val="20"/>
          <w:lang w:val="en-US"/>
        </w:rPr>
        <w:t>.</w:t>
      </w:r>
      <w:proofErr w:type="gramEnd"/>
      <w:r w:rsidRPr="00A57C3D">
        <w:rPr>
          <w:sz w:val="20"/>
          <w:lang w:val="en-US"/>
        </w:rPr>
        <w:t xml:space="preserve">-Z., &amp; Fu, </w:t>
      </w:r>
      <w:proofErr w:type="gramStart"/>
      <w:r w:rsidRPr="00A57C3D">
        <w:rPr>
          <w:sz w:val="20"/>
          <w:lang w:val="en-US"/>
        </w:rPr>
        <w:t>S..</w:t>
      </w:r>
      <w:proofErr w:type="gramEnd"/>
      <w:r w:rsidRPr="00A57C3D">
        <w:rPr>
          <w:sz w:val="20"/>
          <w:lang w:val="en-US"/>
        </w:rPr>
        <w:t xml:space="preserve"> </w:t>
      </w:r>
      <w:proofErr w:type="spellStart"/>
      <w:proofErr w:type="gramStart"/>
      <w:r w:rsidRPr="00A57C3D">
        <w:rPr>
          <w:sz w:val="20"/>
          <w:lang w:val="en-US"/>
        </w:rPr>
        <w:t>Statisticalcharacteristics</w:t>
      </w:r>
      <w:proofErr w:type="spellEnd"/>
      <w:proofErr w:type="gramEnd"/>
      <w:r w:rsidRPr="00A57C3D">
        <w:rPr>
          <w:sz w:val="20"/>
          <w:lang w:val="en-US"/>
        </w:rPr>
        <w:t xml:space="preserve"> of substorms </w:t>
      </w:r>
      <w:proofErr w:type="spellStart"/>
      <w:proofErr w:type="gramStart"/>
      <w:r w:rsidRPr="00A57C3D">
        <w:rPr>
          <w:sz w:val="20"/>
          <w:lang w:val="en-US"/>
        </w:rPr>
        <w:t>withdifferent</w:t>
      </w:r>
      <w:proofErr w:type="spellEnd"/>
      <w:proofErr w:type="gramEnd"/>
      <w:r w:rsidRPr="00A57C3D">
        <w:rPr>
          <w:sz w:val="20"/>
          <w:lang w:val="en-US"/>
        </w:rPr>
        <w:t xml:space="preserve"> intensity // Journal </w:t>
      </w:r>
      <w:proofErr w:type="spellStart"/>
      <w:r w:rsidRPr="00A57C3D">
        <w:rPr>
          <w:sz w:val="20"/>
          <w:lang w:val="en-US"/>
        </w:rPr>
        <w:t>ofGeophysical</w:t>
      </w:r>
      <w:proofErr w:type="spellEnd"/>
      <w:r w:rsidRPr="00A57C3D">
        <w:rPr>
          <w:sz w:val="20"/>
          <w:lang w:val="en-US"/>
        </w:rPr>
        <w:t xml:space="preserve"> Research: Space Physics,126, e2021JA029318. https://doi.org/10.1029/2021JA029318. </w:t>
      </w:r>
      <w:r w:rsidRPr="00A57C3D">
        <w:rPr>
          <w:sz w:val="20"/>
        </w:rPr>
        <w:t>2021</w:t>
      </w:r>
    </w:p>
    <w:p w14:paraId="26CA8242" w14:textId="77777777" w:rsidR="002B4153" w:rsidRPr="00A57C3D" w:rsidRDefault="002B4153" w:rsidP="002B4153">
      <w:pPr>
        <w:pStyle w:val="a7"/>
        <w:numPr>
          <w:ilvl w:val="0"/>
          <w:numId w:val="1"/>
        </w:numPr>
        <w:rPr>
          <w:sz w:val="20"/>
        </w:rPr>
      </w:pPr>
      <w:r w:rsidRPr="00A57C3D">
        <w:rPr>
          <w:sz w:val="20"/>
        </w:rPr>
        <w:t xml:space="preserve">Воробьев </w:t>
      </w:r>
      <w:proofErr w:type="gramStart"/>
      <w:r w:rsidRPr="00A57C3D">
        <w:rPr>
          <w:sz w:val="20"/>
        </w:rPr>
        <w:t>В.Г.</w:t>
      </w:r>
      <w:proofErr w:type="gramEnd"/>
      <w:r w:rsidRPr="00A57C3D">
        <w:rPr>
          <w:sz w:val="20"/>
        </w:rPr>
        <w:t xml:space="preserve">, Ягодкина </w:t>
      </w:r>
      <w:proofErr w:type="gramStart"/>
      <w:r w:rsidRPr="00A57C3D">
        <w:rPr>
          <w:sz w:val="20"/>
        </w:rPr>
        <w:t>О.И.</w:t>
      </w:r>
      <w:proofErr w:type="gramEnd"/>
      <w:r w:rsidRPr="00A57C3D">
        <w:rPr>
          <w:sz w:val="20"/>
        </w:rPr>
        <w:t xml:space="preserve">, Зверев </w:t>
      </w:r>
      <w:proofErr w:type="gramStart"/>
      <w:r w:rsidRPr="00A57C3D">
        <w:rPr>
          <w:sz w:val="20"/>
        </w:rPr>
        <w:t>В.Л.</w:t>
      </w:r>
      <w:proofErr w:type="gramEnd"/>
      <w:r w:rsidRPr="00A57C3D">
        <w:rPr>
          <w:sz w:val="20"/>
        </w:rPr>
        <w:t xml:space="preserve"> Исследование изолированных </w:t>
      </w:r>
      <w:proofErr w:type="spellStart"/>
      <w:r w:rsidRPr="00A57C3D">
        <w:rPr>
          <w:sz w:val="20"/>
        </w:rPr>
        <w:t>суббурь</w:t>
      </w:r>
      <w:proofErr w:type="spellEnd"/>
      <w:r w:rsidRPr="00A57C3D">
        <w:rPr>
          <w:sz w:val="20"/>
        </w:rPr>
        <w:t>: условия генерации и характеристики различных фаз // Геомагнетизм и аэрономия. Т. 56. № 6. С. 721–732. 2016</w:t>
      </w:r>
    </w:p>
    <w:p w14:paraId="41F3DF9D" w14:textId="77777777" w:rsidR="002B4153" w:rsidRPr="00A57C3D" w:rsidRDefault="002B4153" w:rsidP="002B4153">
      <w:pPr>
        <w:pStyle w:val="a7"/>
        <w:numPr>
          <w:ilvl w:val="0"/>
          <w:numId w:val="1"/>
        </w:numPr>
        <w:rPr>
          <w:sz w:val="20"/>
        </w:rPr>
      </w:pPr>
      <w:r w:rsidRPr="00A57C3D">
        <w:rPr>
          <w:sz w:val="20"/>
        </w:rPr>
        <w:t xml:space="preserve">Бархатов Н.А., Воробьев </w:t>
      </w:r>
      <w:proofErr w:type="gramStart"/>
      <w:r w:rsidRPr="00A57C3D">
        <w:rPr>
          <w:sz w:val="20"/>
        </w:rPr>
        <w:t>В.Г.</w:t>
      </w:r>
      <w:proofErr w:type="gramEnd"/>
      <w:r w:rsidRPr="00A57C3D">
        <w:rPr>
          <w:sz w:val="20"/>
        </w:rPr>
        <w:t xml:space="preserve">, Ревунов С.Е., Ягодкина </w:t>
      </w:r>
      <w:proofErr w:type="gramStart"/>
      <w:r w:rsidRPr="00A57C3D">
        <w:rPr>
          <w:sz w:val="20"/>
        </w:rPr>
        <w:t>О.И.</w:t>
      </w:r>
      <w:proofErr w:type="gramEnd"/>
      <w:r w:rsidRPr="00A57C3D">
        <w:rPr>
          <w:sz w:val="20"/>
        </w:rPr>
        <w:t xml:space="preserve"> Проявление динамики параметров солнечного ветра на формирование </w:t>
      </w:r>
      <w:proofErr w:type="spellStart"/>
      <w:r w:rsidRPr="00A57C3D">
        <w:rPr>
          <w:sz w:val="20"/>
        </w:rPr>
        <w:t>суббуревой</w:t>
      </w:r>
      <w:proofErr w:type="spellEnd"/>
      <w:r w:rsidRPr="00A57C3D">
        <w:rPr>
          <w:sz w:val="20"/>
        </w:rPr>
        <w:t xml:space="preserve"> активности // Геомагнетизм и аэрономия. Т. 57. №3. С. 273–279. 2017</w:t>
      </w:r>
    </w:p>
    <w:p w14:paraId="43D6685F" w14:textId="77777777" w:rsidR="002B4153" w:rsidRPr="00AA5252" w:rsidRDefault="002B4153" w:rsidP="002B4153">
      <w:pPr>
        <w:jc w:val="left"/>
        <w:rPr>
          <w:sz w:val="20"/>
        </w:rPr>
      </w:pPr>
      <w:r w:rsidRPr="00AA5252">
        <w:rPr>
          <w:sz w:val="20"/>
        </w:rPr>
        <w:br w:type="page"/>
      </w:r>
    </w:p>
    <w:p w14:paraId="136ED24A" w14:textId="77777777" w:rsidR="002B4153" w:rsidRPr="00313F05" w:rsidRDefault="002B4153" w:rsidP="002B4153">
      <w:pPr>
        <w:pStyle w:val="af3"/>
        <w:rPr>
          <w:sz w:val="20"/>
          <w:szCs w:val="20"/>
        </w:rPr>
      </w:pPr>
      <w:r w:rsidRPr="00313F05">
        <w:rPr>
          <w:sz w:val="20"/>
          <w:szCs w:val="20"/>
        </w:rPr>
        <w:lastRenderedPageBreak/>
        <w:t>БАРХАТОВ Николай Александрович</w:t>
      </w:r>
    </w:p>
    <w:p w14:paraId="1D862931" w14:textId="77777777" w:rsidR="002B4153" w:rsidRPr="00313F05" w:rsidRDefault="002B4153" w:rsidP="002B4153">
      <w:pPr>
        <w:pStyle w:val="af3"/>
        <w:rPr>
          <w:sz w:val="20"/>
          <w:szCs w:val="20"/>
        </w:rPr>
      </w:pPr>
      <w:r w:rsidRPr="00313F05">
        <w:rPr>
          <w:sz w:val="20"/>
          <w:szCs w:val="20"/>
        </w:rPr>
        <w:t xml:space="preserve">ФГБОУ ВПО «Нижегородский государственный педагогический университет им. Козьмы Минина», </w:t>
      </w:r>
      <w:proofErr w:type="spellStart"/>
      <w:r w:rsidRPr="00313F05">
        <w:rPr>
          <w:sz w:val="20"/>
          <w:szCs w:val="20"/>
        </w:rPr>
        <w:t>докт</w:t>
      </w:r>
      <w:proofErr w:type="spellEnd"/>
      <w:r w:rsidRPr="00313F05">
        <w:rPr>
          <w:sz w:val="20"/>
          <w:szCs w:val="20"/>
        </w:rPr>
        <w:t xml:space="preserve">. </w:t>
      </w:r>
      <w:proofErr w:type="gramStart"/>
      <w:r w:rsidRPr="00313F05">
        <w:rPr>
          <w:sz w:val="20"/>
          <w:szCs w:val="20"/>
        </w:rPr>
        <w:t>физ.-мат.</w:t>
      </w:r>
      <w:proofErr w:type="gramEnd"/>
      <w:r w:rsidRPr="00313F05">
        <w:rPr>
          <w:sz w:val="20"/>
          <w:szCs w:val="20"/>
        </w:rPr>
        <w:t xml:space="preserve"> наук, проф. кафедры физики и математики и физико-математического образования, зав. лабораторией физики солнечно-земных связей</w:t>
      </w:r>
    </w:p>
    <w:p w14:paraId="3EE6FB24" w14:textId="77777777" w:rsidR="002B4153" w:rsidRPr="00313F05" w:rsidRDefault="002B4153" w:rsidP="002B4153">
      <w:pPr>
        <w:pStyle w:val="af3"/>
        <w:rPr>
          <w:sz w:val="20"/>
          <w:szCs w:val="20"/>
        </w:rPr>
      </w:pPr>
      <w:r w:rsidRPr="00313F05">
        <w:rPr>
          <w:sz w:val="20"/>
          <w:szCs w:val="20"/>
        </w:rPr>
        <w:t>nbarkhatov@inbox.ru</w:t>
      </w:r>
    </w:p>
    <w:p w14:paraId="3E3D72B7" w14:textId="77777777" w:rsidR="002B4153" w:rsidRPr="00313F05" w:rsidRDefault="002B4153" w:rsidP="002B4153">
      <w:pPr>
        <w:pStyle w:val="af3"/>
        <w:rPr>
          <w:sz w:val="20"/>
          <w:szCs w:val="20"/>
        </w:rPr>
      </w:pPr>
    </w:p>
    <w:p w14:paraId="566699C4" w14:textId="77777777" w:rsidR="002B4153" w:rsidRPr="00313F05" w:rsidRDefault="002B4153" w:rsidP="002B4153">
      <w:pPr>
        <w:pStyle w:val="af3"/>
        <w:rPr>
          <w:sz w:val="20"/>
          <w:szCs w:val="20"/>
        </w:rPr>
      </w:pPr>
      <w:r w:rsidRPr="00313F05">
        <w:rPr>
          <w:sz w:val="20"/>
          <w:szCs w:val="20"/>
        </w:rPr>
        <w:t>РЕВУНОВ Сергей Евгеньевич</w:t>
      </w:r>
    </w:p>
    <w:p w14:paraId="3925D264" w14:textId="77777777" w:rsidR="002B4153" w:rsidRPr="00313F05" w:rsidRDefault="002B4153" w:rsidP="002B4153">
      <w:pPr>
        <w:pStyle w:val="af3"/>
        <w:rPr>
          <w:sz w:val="20"/>
          <w:szCs w:val="20"/>
        </w:rPr>
      </w:pPr>
      <w:r w:rsidRPr="00313F05">
        <w:rPr>
          <w:sz w:val="20"/>
          <w:szCs w:val="20"/>
        </w:rPr>
        <w:t xml:space="preserve">ФГБОУ ВПО «Нижегородский государственный педагогический университет им. Козьмы Минина», канд. </w:t>
      </w:r>
      <w:proofErr w:type="gramStart"/>
      <w:r w:rsidRPr="00313F05">
        <w:rPr>
          <w:sz w:val="20"/>
          <w:szCs w:val="20"/>
        </w:rPr>
        <w:t>физ.-мат.</w:t>
      </w:r>
      <w:proofErr w:type="gramEnd"/>
      <w:r w:rsidRPr="00313F05">
        <w:rPr>
          <w:sz w:val="20"/>
          <w:szCs w:val="20"/>
        </w:rPr>
        <w:t xml:space="preserve"> наук, доц. кафедры физики и математики и физико-математического образования, </w:t>
      </w:r>
      <w:proofErr w:type="spellStart"/>
      <w:r w:rsidRPr="00313F05">
        <w:rPr>
          <w:sz w:val="20"/>
          <w:szCs w:val="20"/>
        </w:rPr>
        <w:t>нс</w:t>
      </w:r>
      <w:proofErr w:type="spellEnd"/>
      <w:r w:rsidRPr="00313F05">
        <w:rPr>
          <w:sz w:val="20"/>
          <w:szCs w:val="20"/>
        </w:rPr>
        <w:t xml:space="preserve"> лаборатории физики солнечно-земных связей</w:t>
      </w:r>
    </w:p>
    <w:p w14:paraId="7B05062A" w14:textId="77777777" w:rsidR="002B4153" w:rsidRPr="00313F05" w:rsidRDefault="002B4153" w:rsidP="002B4153">
      <w:pPr>
        <w:pStyle w:val="af3"/>
        <w:rPr>
          <w:sz w:val="20"/>
          <w:szCs w:val="20"/>
        </w:rPr>
      </w:pPr>
      <w:r w:rsidRPr="00313F05">
        <w:rPr>
          <w:sz w:val="20"/>
          <w:szCs w:val="20"/>
        </w:rPr>
        <w:t>revunov@inbox.ru</w:t>
      </w:r>
    </w:p>
    <w:p w14:paraId="0ACA702C" w14:textId="77777777" w:rsidR="002B4153" w:rsidRPr="00313F05" w:rsidRDefault="002B4153" w:rsidP="002B4153">
      <w:pPr>
        <w:pStyle w:val="af3"/>
        <w:rPr>
          <w:sz w:val="20"/>
          <w:szCs w:val="20"/>
        </w:rPr>
      </w:pPr>
    </w:p>
    <w:p w14:paraId="133E05A7" w14:textId="77777777" w:rsidR="002B4153" w:rsidRPr="00313F05" w:rsidRDefault="002B4153" w:rsidP="002B4153">
      <w:pPr>
        <w:pStyle w:val="af3"/>
        <w:rPr>
          <w:sz w:val="20"/>
          <w:szCs w:val="20"/>
        </w:rPr>
      </w:pPr>
      <w:r w:rsidRPr="00313F05">
        <w:rPr>
          <w:sz w:val="20"/>
          <w:szCs w:val="20"/>
        </w:rPr>
        <w:t>БАРХАТОВА Оксана Михайловна</w:t>
      </w:r>
    </w:p>
    <w:p w14:paraId="4D6B9DF3" w14:textId="77777777" w:rsidR="002B4153" w:rsidRPr="00313F05" w:rsidRDefault="002B4153" w:rsidP="002B4153">
      <w:pPr>
        <w:pStyle w:val="af3"/>
        <w:rPr>
          <w:sz w:val="20"/>
          <w:szCs w:val="20"/>
        </w:rPr>
      </w:pPr>
      <w:r w:rsidRPr="00313F05">
        <w:rPr>
          <w:sz w:val="20"/>
          <w:szCs w:val="20"/>
        </w:rPr>
        <w:t xml:space="preserve">ФГБОУ ВПО «Нижегородский государственный архитектурно-строительный университет», канд. </w:t>
      </w:r>
      <w:proofErr w:type="gramStart"/>
      <w:r w:rsidRPr="00313F05">
        <w:rPr>
          <w:sz w:val="20"/>
          <w:szCs w:val="20"/>
        </w:rPr>
        <w:t>физ.-мат.</w:t>
      </w:r>
      <w:proofErr w:type="gramEnd"/>
      <w:r w:rsidRPr="00313F05">
        <w:rPr>
          <w:sz w:val="20"/>
          <w:szCs w:val="20"/>
        </w:rPr>
        <w:t xml:space="preserve"> наук, доц. кафедры общей физики и теоретической механики, </w:t>
      </w:r>
      <w:proofErr w:type="spellStart"/>
      <w:r w:rsidRPr="00313F05">
        <w:rPr>
          <w:sz w:val="20"/>
          <w:szCs w:val="20"/>
        </w:rPr>
        <w:t>н.с</w:t>
      </w:r>
      <w:proofErr w:type="spellEnd"/>
      <w:r w:rsidRPr="00313F05">
        <w:rPr>
          <w:sz w:val="20"/>
          <w:szCs w:val="20"/>
        </w:rPr>
        <w:t>. лаборатории физики солнечно-земных связей</w:t>
      </w:r>
    </w:p>
    <w:p w14:paraId="34975BA7" w14:textId="77777777" w:rsidR="002B4153" w:rsidRDefault="002B4153" w:rsidP="002B4153">
      <w:pPr>
        <w:pStyle w:val="af3"/>
        <w:rPr>
          <w:sz w:val="20"/>
          <w:szCs w:val="20"/>
        </w:rPr>
      </w:pPr>
      <w:hyperlink r:id="rId14" w:history="1">
        <w:r w:rsidRPr="00451C0A">
          <w:rPr>
            <w:rStyle w:val="af1"/>
            <w:sz w:val="20"/>
            <w:szCs w:val="20"/>
            <w:lang w:val="en-US"/>
          </w:rPr>
          <w:t>o</w:t>
        </w:r>
        <w:r w:rsidRPr="002B4153">
          <w:rPr>
            <w:rStyle w:val="af1"/>
            <w:sz w:val="20"/>
            <w:szCs w:val="20"/>
          </w:rPr>
          <w:t>.</w:t>
        </w:r>
        <w:r w:rsidRPr="00451C0A">
          <w:rPr>
            <w:rStyle w:val="af1"/>
            <w:sz w:val="20"/>
            <w:szCs w:val="20"/>
            <w:lang w:val="en-US"/>
          </w:rPr>
          <w:t>barkhatova</w:t>
        </w:r>
        <w:r w:rsidRPr="002B4153">
          <w:rPr>
            <w:rStyle w:val="af1"/>
            <w:sz w:val="20"/>
            <w:szCs w:val="20"/>
          </w:rPr>
          <w:t>@</w:t>
        </w:r>
        <w:r w:rsidRPr="00451C0A">
          <w:rPr>
            <w:rStyle w:val="af1"/>
            <w:sz w:val="20"/>
            <w:szCs w:val="20"/>
            <w:lang w:val="en-US"/>
          </w:rPr>
          <w:t>inbox</w:t>
        </w:r>
        <w:r w:rsidRPr="002B4153">
          <w:rPr>
            <w:rStyle w:val="af1"/>
            <w:sz w:val="20"/>
            <w:szCs w:val="20"/>
          </w:rPr>
          <w:t>.</w:t>
        </w:r>
        <w:proofErr w:type="spellStart"/>
        <w:r w:rsidRPr="00451C0A">
          <w:rPr>
            <w:rStyle w:val="af1"/>
            <w:sz w:val="20"/>
            <w:szCs w:val="20"/>
            <w:lang w:val="en-US"/>
          </w:rPr>
          <w:t>ru</w:t>
        </w:r>
        <w:proofErr w:type="spellEnd"/>
      </w:hyperlink>
    </w:p>
    <w:p w14:paraId="2DA3F07C" w14:textId="77777777" w:rsidR="002B4153" w:rsidRPr="0063206D" w:rsidRDefault="002B4153" w:rsidP="002B4153">
      <w:pPr>
        <w:pStyle w:val="af3"/>
        <w:rPr>
          <w:sz w:val="20"/>
          <w:szCs w:val="20"/>
        </w:rPr>
      </w:pPr>
    </w:p>
    <w:p w14:paraId="054D7E39" w14:textId="77777777" w:rsidR="002B4153" w:rsidRPr="00313F05" w:rsidRDefault="002B4153" w:rsidP="002B4153">
      <w:pPr>
        <w:pStyle w:val="af3"/>
        <w:rPr>
          <w:sz w:val="20"/>
          <w:szCs w:val="20"/>
        </w:rPr>
      </w:pPr>
      <w:r w:rsidRPr="00313F05">
        <w:rPr>
          <w:sz w:val="20"/>
          <w:szCs w:val="20"/>
        </w:rPr>
        <w:t>ВОРОБЬЕВ Вячеслав Георгиевич</w:t>
      </w:r>
    </w:p>
    <w:p w14:paraId="08EFF487" w14:textId="77777777" w:rsidR="002B4153" w:rsidRPr="00313F05" w:rsidRDefault="002B4153" w:rsidP="002B4153">
      <w:pPr>
        <w:pStyle w:val="af3"/>
        <w:rPr>
          <w:sz w:val="20"/>
          <w:szCs w:val="20"/>
        </w:rPr>
      </w:pPr>
      <w:r w:rsidRPr="00313F05">
        <w:rPr>
          <w:sz w:val="20"/>
          <w:szCs w:val="20"/>
        </w:rPr>
        <w:t xml:space="preserve">ФГБНУ Полярный геофизический институт (ПГИ), </w:t>
      </w:r>
      <w:proofErr w:type="spellStart"/>
      <w:r w:rsidRPr="00313F05">
        <w:rPr>
          <w:sz w:val="20"/>
          <w:szCs w:val="20"/>
        </w:rPr>
        <w:t>гл.н.с</w:t>
      </w:r>
      <w:proofErr w:type="spellEnd"/>
      <w:r w:rsidRPr="00313F05">
        <w:rPr>
          <w:sz w:val="20"/>
          <w:szCs w:val="20"/>
        </w:rPr>
        <w:t xml:space="preserve">. лаборатории полярных сияний, </w:t>
      </w:r>
      <w:proofErr w:type="spellStart"/>
      <w:r w:rsidRPr="00313F05">
        <w:rPr>
          <w:sz w:val="20"/>
          <w:szCs w:val="20"/>
        </w:rPr>
        <w:t>докт</w:t>
      </w:r>
      <w:proofErr w:type="spellEnd"/>
      <w:r w:rsidRPr="00313F05">
        <w:rPr>
          <w:sz w:val="20"/>
          <w:szCs w:val="20"/>
        </w:rPr>
        <w:t xml:space="preserve">. </w:t>
      </w:r>
      <w:proofErr w:type="gramStart"/>
      <w:r w:rsidRPr="00313F05">
        <w:rPr>
          <w:sz w:val="20"/>
          <w:szCs w:val="20"/>
        </w:rPr>
        <w:t>физ.-мат.</w:t>
      </w:r>
      <w:proofErr w:type="gramEnd"/>
      <w:r w:rsidRPr="00313F05">
        <w:rPr>
          <w:sz w:val="20"/>
          <w:szCs w:val="20"/>
        </w:rPr>
        <w:t xml:space="preserve"> наук</w:t>
      </w:r>
    </w:p>
    <w:p w14:paraId="78848BC6" w14:textId="77777777" w:rsidR="002B4153" w:rsidRPr="00313F05" w:rsidRDefault="002B4153" w:rsidP="002B4153">
      <w:pPr>
        <w:pStyle w:val="af3"/>
        <w:rPr>
          <w:sz w:val="20"/>
          <w:szCs w:val="20"/>
        </w:rPr>
      </w:pPr>
      <w:r w:rsidRPr="00313F05">
        <w:rPr>
          <w:sz w:val="20"/>
          <w:szCs w:val="20"/>
        </w:rPr>
        <w:t>vorobjev@pgia.ru</w:t>
      </w:r>
    </w:p>
    <w:p w14:paraId="0FF315A1" w14:textId="77777777" w:rsidR="002B4153" w:rsidRPr="00313F05" w:rsidRDefault="002B4153" w:rsidP="002B4153">
      <w:pPr>
        <w:pStyle w:val="af3"/>
        <w:rPr>
          <w:sz w:val="20"/>
          <w:szCs w:val="20"/>
        </w:rPr>
      </w:pPr>
    </w:p>
    <w:p w14:paraId="7B918E23" w14:textId="77777777" w:rsidR="002B4153" w:rsidRPr="00313F05" w:rsidRDefault="002B4153" w:rsidP="002B4153">
      <w:pPr>
        <w:pStyle w:val="af3"/>
        <w:rPr>
          <w:sz w:val="20"/>
          <w:szCs w:val="20"/>
        </w:rPr>
      </w:pPr>
      <w:r w:rsidRPr="00313F05">
        <w:rPr>
          <w:sz w:val="20"/>
          <w:szCs w:val="20"/>
        </w:rPr>
        <w:t>РЕВУНОВА Елена Алексеевна</w:t>
      </w:r>
    </w:p>
    <w:p w14:paraId="1A06CDF4" w14:textId="77777777" w:rsidR="002B4153" w:rsidRPr="00313F05" w:rsidRDefault="002B4153" w:rsidP="002B4153">
      <w:pPr>
        <w:pStyle w:val="af3"/>
        <w:rPr>
          <w:sz w:val="20"/>
          <w:szCs w:val="20"/>
        </w:rPr>
      </w:pPr>
      <w:r w:rsidRPr="00313F05">
        <w:rPr>
          <w:sz w:val="20"/>
          <w:szCs w:val="20"/>
        </w:rPr>
        <w:t xml:space="preserve">ФГБОУ ВПО «Нижегородский государственный архитектурно-строительный университет», канд. </w:t>
      </w:r>
      <w:proofErr w:type="gramStart"/>
      <w:r w:rsidRPr="00313F05">
        <w:rPr>
          <w:sz w:val="20"/>
          <w:szCs w:val="20"/>
        </w:rPr>
        <w:t>физ.-мат.</w:t>
      </w:r>
      <w:proofErr w:type="gramEnd"/>
      <w:r w:rsidRPr="00313F05">
        <w:rPr>
          <w:sz w:val="20"/>
          <w:szCs w:val="20"/>
        </w:rPr>
        <w:t xml:space="preserve"> наук, доц. кафедры общей физики и теоретической механики, </w:t>
      </w:r>
      <w:proofErr w:type="spellStart"/>
      <w:r w:rsidRPr="00313F05">
        <w:rPr>
          <w:sz w:val="20"/>
          <w:szCs w:val="20"/>
        </w:rPr>
        <w:t>н.с</w:t>
      </w:r>
      <w:proofErr w:type="spellEnd"/>
      <w:r w:rsidRPr="00313F05">
        <w:rPr>
          <w:sz w:val="20"/>
          <w:szCs w:val="20"/>
        </w:rPr>
        <w:t>. лаборатории физики солнечно-земных связей</w:t>
      </w:r>
    </w:p>
    <w:p w14:paraId="1217B939" w14:textId="77777777" w:rsidR="002B4153" w:rsidRPr="002B4153" w:rsidRDefault="002B4153" w:rsidP="002B4153">
      <w:pPr>
        <w:pStyle w:val="af3"/>
        <w:rPr>
          <w:sz w:val="20"/>
          <w:szCs w:val="20"/>
          <w:lang w:val="en-US"/>
        </w:rPr>
      </w:pPr>
      <w:r w:rsidRPr="002B4153">
        <w:rPr>
          <w:sz w:val="20"/>
          <w:szCs w:val="20"/>
          <w:lang w:val="en-US"/>
        </w:rPr>
        <w:t>revunova.elena@mail.ru</w:t>
      </w:r>
    </w:p>
    <w:p w14:paraId="3329804C" w14:textId="77777777" w:rsidR="002B4153" w:rsidRPr="002B4153" w:rsidRDefault="002B4153" w:rsidP="002B4153">
      <w:pPr>
        <w:pStyle w:val="af3"/>
        <w:rPr>
          <w:sz w:val="20"/>
          <w:szCs w:val="20"/>
          <w:lang w:val="en-US"/>
        </w:rPr>
      </w:pPr>
    </w:p>
    <w:p w14:paraId="5A2BAD1D" w14:textId="77777777" w:rsidR="002B4153" w:rsidRPr="009A5B0D" w:rsidRDefault="002B4153" w:rsidP="002B4153">
      <w:pPr>
        <w:pStyle w:val="af3"/>
        <w:rPr>
          <w:sz w:val="20"/>
          <w:szCs w:val="20"/>
          <w:lang w:val="en-US"/>
        </w:rPr>
      </w:pPr>
    </w:p>
    <w:p w14:paraId="589D12A4" w14:textId="77777777" w:rsidR="002B4153" w:rsidRPr="009A5B0D" w:rsidRDefault="002B4153" w:rsidP="002B4153">
      <w:pPr>
        <w:pStyle w:val="af3"/>
        <w:rPr>
          <w:sz w:val="20"/>
          <w:szCs w:val="20"/>
          <w:lang w:val="en-US"/>
        </w:rPr>
      </w:pPr>
    </w:p>
    <w:p w14:paraId="1CE10701" w14:textId="77777777" w:rsidR="002B4153" w:rsidRPr="005D29B3" w:rsidRDefault="002B4153" w:rsidP="002B4153">
      <w:pPr>
        <w:pStyle w:val="af3"/>
        <w:rPr>
          <w:b/>
          <w:sz w:val="28"/>
          <w:szCs w:val="28"/>
          <w:lang w:val="en-US"/>
        </w:rPr>
      </w:pPr>
      <w:r w:rsidRPr="005D29B3">
        <w:rPr>
          <w:b/>
          <w:sz w:val="28"/>
          <w:szCs w:val="28"/>
          <w:lang w:val="en-US"/>
        </w:rPr>
        <w:t>Statistical analysis of possible trigger mechanisms for th</w:t>
      </w:r>
      <w:r>
        <w:rPr>
          <w:b/>
          <w:sz w:val="28"/>
          <w:szCs w:val="28"/>
          <w:lang w:val="en-US"/>
        </w:rPr>
        <w:t>e occurrence of geomagnetic sub</w:t>
      </w:r>
      <w:r w:rsidRPr="005D29B3">
        <w:rPr>
          <w:b/>
          <w:sz w:val="28"/>
          <w:szCs w:val="28"/>
          <w:lang w:val="en-US"/>
        </w:rPr>
        <w:t>storms</w:t>
      </w:r>
    </w:p>
    <w:p w14:paraId="7FD67AA4" w14:textId="77777777" w:rsidR="002B4153" w:rsidRPr="005D29B3" w:rsidRDefault="002B4153" w:rsidP="002B4153">
      <w:pPr>
        <w:pStyle w:val="af3"/>
        <w:rPr>
          <w:sz w:val="20"/>
          <w:szCs w:val="20"/>
          <w:lang w:val="en-US"/>
        </w:rPr>
      </w:pPr>
    </w:p>
    <w:p w14:paraId="622BD824" w14:textId="77777777" w:rsidR="002B4153" w:rsidRPr="005D29B3" w:rsidRDefault="002B4153" w:rsidP="002B4153">
      <w:pPr>
        <w:rPr>
          <w:rFonts w:eastAsiaTheme="minorHAnsi" w:cstheme="minorBidi"/>
          <w:sz w:val="20"/>
          <w:lang w:val="en-US" w:eastAsia="en-US"/>
        </w:rPr>
      </w:pPr>
      <w:r w:rsidRPr="005D29B3">
        <w:rPr>
          <w:rFonts w:eastAsiaTheme="minorHAnsi" w:cstheme="minorBidi"/>
          <w:sz w:val="20"/>
          <w:lang w:val="en-US" w:eastAsia="en-US"/>
        </w:rPr>
        <w:t xml:space="preserve">The paper is devoted to the statistical analysis of factors accompanying the occurrence of isolated geomagnetic substorms in the Earth's magnetosphere under the influence of solar wind. Particular attention is paid to determining the conditions under which substorms are initiated, as well as to studying the trigger mechanisms that launch these processes. The article discusses the role of various solar wind parameters, including speed, density, and interplanetary magnetic field, as well as their influence on the dynamics of magnetospheric disturbances. Particular attention is paid to the high correlation between the SYM-H index and the AL index associated with isolated sub-storm events that occur against the background of global magnetospheric disturbances. This indicates a close relationship between local and global processes in the solar wind-magnetosphere system and emphasizes the need for a comprehensive approach to the study of space storms and substorms. The analysis revealed statistical dependencies between variations in interplanetary parameters and the intensity of substorms, which </w:t>
      </w:r>
      <w:proofErr w:type="gramStart"/>
      <w:r w:rsidRPr="005D29B3">
        <w:rPr>
          <w:rFonts w:eastAsiaTheme="minorHAnsi" w:cstheme="minorBidi"/>
          <w:sz w:val="20"/>
          <w:lang w:val="en-US" w:eastAsia="en-US"/>
        </w:rPr>
        <w:t>opens up</w:t>
      </w:r>
      <w:proofErr w:type="gramEnd"/>
      <w:r w:rsidRPr="005D29B3">
        <w:rPr>
          <w:rFonts w:eastAsiaTheme="minorHAnsi" w:cstheme="minorBidi"/>
          <w:sz w:val="20"/>
          <w:lang w:val="en-US" w:eastAsia="en-US"/>
        </w:rPr>
        <w:t xml:space="preserve"> the possibility of more accurate forecasting of such phenomena. The practical significance of the study is determined by the influence of geomagnetic substorms on the functioning of spacecraft, global navigation systems, and ground-based communications that are sensitive to space weather. The results obtained allow us to refine our understanding of energy redistribution in the magnetosphere and contribute to the development of theoretical models of its dynamics.</w:t>
      </w:r>
    </w:p>
    <w:p w14:paraId="332B90B5" w14:textId="77777777" w:rsidR="00691B20" w:rsidRPr="002B4153" w:rsidRDefault="00691B20">
      <w:pPr>
        <w:rPr>
          <w:lang w:val="en-US"/>
        </w:rPr>
      </w:pPr>
    </w:p>
    <w:sectPr w:rsidR="00691B20" w:rsidRPr="002B4153" w:rsidSect="002B4153">
      <w:headerReference w:type="even" r:id="rId15"/>
      <w:footerReference w:type="even" r:id="rId16"/>
      <w:footerReference w:type="default" r:id="rId17"/>
      <w:pgSz w:w="11906" w:h="16838" w:code="9"/>
      <w:pgMar w:top="1701" w:right="851" w:bottom="1134" w:left="1701" w:header="567" w:footer="567"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44C3" w14:textId="77777777" w:rsidR="002B4153" w:rsidRDefault="002B4153">
    <w:pPr>
      <w:pStyle w:val="ae"/>
      <w:framePr w:wrap="around" w:vAnchor="text" w:hAnchor="margin" w:xAlign="center" w:y="1"/>
      <w:rPr>
        <w:rStyle w:val="af0"/>
        <w:rFonts w:eastAsiaTheme="majorEastAsia"/>
      </w:rPr>
    </w:pPr>
    <w:r>
      <w:rPr>
        <w:rStyle w:val="af0"/>
        <w:rFonts w:eastAsiaTheme="majorEastAsia"/>
      </w:rPr>
      <w:fldChar w:fldCharType="begin"/>
    </w:r>
    <w:r>
      <w:rPr>
        <w:rStyle w:val="af0"/>
        <w:rFonts w:eastAsiaTheme="majorEastAsia"/>
      </w:rPr>
      <w:instrText xml:space="preserve">PAGE  </w:instrText>
    </w:r>
    <w:r>
      <w:rPr>
        <w:rStyle w:val="af0"/>
        <w:rFonts w:eastAsiaTheme="majorEastAsia"/>
      </w:rPr>
      <w:fldChar w:fldCharType="end"/>
    </w:r>
  </w:p>
  <w:p w14:paraId="7965D523" w14:textId="77777777" w:rsidR="002B4153" w:rsidRDefault="002B4153">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D678" w14:textId="77777777" w:rsidR="002B4153" w:rsidRDefault="002B4153">
    <w:pPr>
      <w:pStyle w:val="ae"/>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AAC8" w14:textId="77777777" w:rsidR="002B4153" w:rsidRDefault="002B4153">
    <w:pPr>
      <w:pStyle w:val="ac"/>
    </w:pPr>
    <w:r>
      <w:rPr>
        <w:sz w:val="20"/>
      </w:rPr>
      <w:t xml:space="preserve">Труды 3-й научной конференции по радиофизике, </w:t>
    </w:r>
    <w:r>
      <w:rPr>
        <w:noProof/>
        <w:sz w:val="20"/>
      </w:rPr>
      <w:t>ÍÍÃÓ</w:t>
    </w:r>
    <w:r>
      <w:rPr>
        <w:sz w:val="20"/>
      </w:rPr>
      <w:t>, 1999</w:t>
    </w:r>
  </w:p>
  <w:p w14:paraId="3E607B05" w14:textId="77777777" w:rsidR="002B4153" w:rsidRDefault="002B415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C2E8E"/>
    <w:multiLevelType w:val="hybridMultilevel"/>
    <w:tmpl w:val="92CAB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649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53"/>
    <w:rsid w:val="002B4153"/>
    <w:rsid w:val="004C082E"/>
    <w:rsid w:val="00516752"/>
    <w:rsid w:val="00691B20"/>
    <w:rsid w:val="00817699"/>
    <w:rsid w:val="00A81DB6"/>
    <w:rsid w:val="00B052E5"/>
    <w:rsid w:val="00BB01BE"/>
    <w:rsid w:val="00E930BA"/>
    <w:rsid w:val="00F2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2AC2"/>
  <w15:chartTrackingRefBased/>
  <w15:docId w15:val="{8EDE2BA5-44F9-4C7B-970B-5F25AC48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153"/>
    <w:pPr>
      <w:spacing w:after="0" w:line="240" w:lineRule="auto"/>
      <w:jc w:val="both"/>
    </w:pPr>
    <w:rPr>
      <w:rFonts w:ascii="Times New Roman" w:eastAsia="Times New Roman" w:hAnsi="Times New Roman" w:cs="Times New Roman"/>
      <w:kern w:val="0"/>
      <w:sz w:val="18"/>
      <w:szCs w:val="20"/>
      <w:lang w:eastAsia="ru-RU"/>
      <w14:ligatures w14:val="none"/>
    </w:rPr>
  </w:style>
  <w:style w:type="paragraph" w:styleId="1">
    <w:name w:val="heading 1"/>
    <w:basedOn w:val="a"/>
    <w:next w:val="a"/>
    <w:link w:val="10"/>
    <w:uiPriority w:val="9"/>
    <w:qFormat/>
    <w:rsid w:val="002B4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4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41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41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41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415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415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415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415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1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41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41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41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41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41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4153"/>
    <w:rPr>
      <w:rFonts w:eastAsiaTheme="majorEastAsia" w:cstheme="majorBidi"/>
      <w:color w:val="595959" w:themeColor="text1" w:themeTint="A6"/>
    </w:rPr>
  </w:style>
  <w:style w:type="character" w:customStyle="1" w:styleId="80">
    <w:name w:val="Заголовок 8 Знак"/>
    <w:basedOn w:val="a0"/>
    <w:link w:val="8"/>
    <w:uiPriority w:val="9"/>
    <w:semiHidden/>
    <w:rsid w:val="002B41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4153"/>
    <w:rPr>
      <w:rFonts w:eastAsiaTheme="majorEastAsia" w:cstheme="majorBidi"/>
      <w:color w:val="272727" w:themeColor="text1" w:themeTint="D8"/>
    </w:rPr>
  </w:style>
  <w:style w:type="paragraph" w:styleId="a3">
    <w:name w:val="Title"/>
    <w:basedOn w:val="a"/>
    <w:next w:val="a"/>
    <w:link w:val="a4"/>
    <w:uiPriority w:val="10"/>
    <w:qFormat/>
    <w:rsid w:val="002B415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4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1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41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4153"/>
    <w:pPr>
      <w:spacing w:before="160"/>
      <w:jc w:val="center"/>
    </w:pPr>
    <w:rPr>
      <w:i/>
      <w:iCs/>
      <w:color w:val="404040" w:themeColor="text1" w:themeTint="BF"/>
    </w:rPr>
  </w:style>
  <w:style w:type="character" w:customStyle="1" w:styleId="22">
    <w:name w:val="Цитата 2 Знак"/>
    <w:basedOn w:val="a0"/>
    <w:link w:val="21"/>
    <w:uiPriority w:val="29"/>
    <w:rsid w:val="002B4153"/>
    <w:rPr>
      <w:i/>
      <w:iCs/>
      <w:color w:val="404040" w:themeColor="text1" w:themeTint="BF"/>
    </w:rPr>
  </w:style>
  <w:style w:type="paragraph" w:styleId="a7">
    <w:name w:val="List Paragraph"/>
    <w:basedOn w:val="a"/>
    <w:uiPriority w:val="34"/>
    <w:qFormat/>
    <w:rsid w:val="002B4153"/>
    <w:pPr>
      <w:ind w:left="720"/>
      <w:contextualSpacing/>
    </w:pPr>
  </w:style>
  <w:style w:type="character" w:styleId="a8">
    <w:name w:val="Intense Emphasis"/>
    <w:basedOn w:val="a0"/>
    <w:uiPriority w:val="21"/>
    <w:qFormat/>
    <w:rsid w:val="002B4153"/>
    <w:rPr>
      <w:i/>
      <w:iCs/>
      <w:color w:val="2F5496" w:themeColor="accent1" w:themeShade="BF"/>
    </w:rPr>
  </w:style>
  <w:style w:type="paragraph" w:styleId="a9">
    <w:name w:val="Intense Quote"/>
    <w:basedOn w:val="a"/>
    <w:next w:val="a"/>
    <w:link w:val="aa"/>
    <w:uiPriority w:val="30"/>
    <w:qFormat/>
    <w:rsid w:val="002B4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B4153"/>
    <w:rPr>
      <w:i/>
      <w:iCs/>
      <w:color w:val="2F5496" w:themeColor="accent1" w:themeShade="BF"/>
    </w:rPr>
  </w:style>
  <w:style w:type="character" w:styleId="ab">
    <w:name w:val="Intense Reference"/>
    <w:basedOn w:val="a0"/>
    <w:uiPriority w:val="32"/>
    <w:qFormat/>
    <w:rsid w:val="002B4153"/>
    <w:rPr>
      <w:b/>
      <w:bCs/>
      <w:smallCaps/>
      <w:color w:val="2F5496" w:themeColor="accent1" w:themeShade="BF"/>
      <w:spacing w:val="5"/>
    </w:rPr>
  </w:style>
  <w:style w:type="paragraph" w:styleId="ac">
    <w:name w:val="header"/>
    <w:basedOn w:val="a"/>
    <w:link w:val="ad"/>
    <w:rsid w:val="002B4153"/>
    <w:pPr>
      <w:pBdr>
        <w:bottom w:val="single" w:sz="6" w:space="1" w:color="auto"/>
      </w:pBdr>
      <w:tabs>
        <w:tab w:val="center" w:pos="4536"/>
      </w:tabs>
      <w:jc w:val="center"/>
    </w:pPr>
    <w:rPr>
      <w:sz w:val="16"/>
    </w:rPr>
  </w:style>
  <w:style w:type="character" w:customStyle="1" w:styleId="ad">
    <w:name w:val="Верхний колонтитул Знак"/>
    <w:basedOn w:val="a0"/>
    <w:link w:val="ac"/>
    <w:rsid w:val="002B4153"/>
    <w:rPr>
      <w:rFonts w:ascii="Times New Roman" w:eastAsia="Times New Roman" w:hAnsi="Times New Roman" w:cs="Times New Roman"/>
      <w:kern w:val="0"/>
      <w:sz w:val="16"/>
      <w:szCs w:val="20"/>
      <w:lang w:eastAsia="ru-RU"/>
      <w14:ligatures w14:val="none"/>
    </w:rPr>
  </w:style>
  <w:style w:type="paragraph" w:styleId="ae">
    <w:name w:val="footer"/>
    <w:basedOn w:val="a"/>
    <w:link w:val="af"/>
    <w:rsid w:val="002B4153"/>
    <w:pPr>
      <w:keepLines/>
      <w:tabs>
        <w:tab w:val="center" w:pos="4320"/>
        <w:tab w:val="right" w:pos="8640"/>
      </w:tabs>
      <w:jc w:val="center"/>
    </w:pPr>
    <w:rPr>
      <w:rFonts w:ascii="Arial" w:hAnsi="Arial"/>
    </w:rPr>
  </w:style>
  <w:style w:type="character" w:customStyle="1" w:styleId="af">
    <w:name w:val="Нижний колонтитул Знак"/>
    <w:basedOn w:val="a0"/>
    <w:link w:val="ae"/>
    <w:rsid w:val="002B4153"/>
    <w:rPr>
      <w:rFonts w:ascii="Arial" w:eastAsia="Times New Roman" w:hAnsi="Arial" w:cs="Times New Roman"/>
      <w:kern w:val="0"/>
      <w:sz w:val="18"/>
      <w:szCs w:val="20"/>
      <w:lang w:eastAsia="ru-RU"/>
      <w14:ligatures w14:val="none"/>
    </w:rPr>
  </w:style>
  <w:style w:type="character" w:styleId="af0">
    <w:name w:val="page number"/>
    <w:rsid w:val="002B4153"/>
    <w:rPr>
      <w:rFonts w:ascii="Arial" w:hAnsi="Arial"/>
      <w:b/>
      <w:sz w:val="14"/>
    </w:rPr>
  </w:style>
  <w:style w:type="character" w:styleId="af1">
    <w:name w:val="Hyperlink"/>
    <w:rsid w:val="002B4153"/>
    <w:rPr>
      <w:color w:val="0000FF"/>
      <w:u w:val="single"/>
    </w:rPr>
  </w:style>
  <w:style w:type="table" w:styleId="af2">
    <w:name w:val="Table Grid"/>
    <w:basedOn w:val="a1"/>
    <w:rsid w:val="002B415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2B4153"/>
    <w:pPr>
      <w:spacing w:after="0" w:line="240" w:lineRule="auto"/>
      <w:jc w:val="both"/>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o.barkhatova@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1869</Words>
  <Characters>10658</Characters>
  <Application>Microsoft Office Word</Application>
  <DocSecurity>0</DocSecurity>
  <Lines>88</Lines>
  <Paragraphs>25</Paragraphs>
  <ScaleCrop>false</ScaleCrop>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BarkhatovNA</dc:creator>
  <cp:keywords/>
  <dc:description/>
  <cp:lastModifiedBy>BarkhatovNA</cp:lastModifiedBy>
  <cp:revision>1</cp:revision>
  <dcterms:created xsi:type="dcterms:W3CDTF">2025-09-21T09:17:00Z</dcterms:created>
  <dcterms:modified xsi:type="dcterms:W3CDTF">2025-09-21T09:18:00Z</dcterms:modified>
</cp:coreProperties>
</file>