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left="1" w:hanging="1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The two-way coupling of the global MHD model and the t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h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ermosphere/ionosphere model.</w:t>
      </w: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A.V. Divin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, E. Gordeev,  M.V. Klimenko</w:t>
      </w:r>
      <w:r>
        <w:rPr>
          <w:rFonts w:ascii="Times New Roman" w:hAnsi="Times New Roman"/>
          <w:b w:val="1"/>
          <w:bCs w:val="1"/>
          <w:vertAlign w:val="superscript"/>
          <w:rtl w:val="0"/>
          <w:lang w:val="en-US"/>
        </w:rPr>
        <w:t>2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ru-RU"/>
        </w:rPr>
        <w:t>F.S. Bessarab</w:t>
      </w:r>
      <w:r>
        <w:rPr>
          <w:rFonts w:ascii="Times New Roman" w:hAnsi="Times New Roman"/>
          <w:b w:val="1"/>
          <w:bCs w:val="1"/>
          <w:vertAlign w:val="superscript"/>
          <w:rtl w:val="0"/>
          <w:lang w:val="en-US"/>
        </w:rPr>
        <w:t>2</w:t>
      </w:r>
      <w:r>
        <w:rPr>
          <w:rFonts w:ascii="Times New Roman" w:hAnsi="Times New Roman"/>
          <w:b w:val="1"/>
          <w:bCs w:val="1"/>
          <w:rtl w:val="0"/>
          <w:lang w:val="ru-RU"/>
        </w:rPr>
        <w:t>, K.V. Belyuchenko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vertAlign w:val="superscript"/>
          <w:rtl w:val="0"/>
          <w:lang w:val="en-US"/>
        </w:rPr>
        <w:t>,2</w:t>
      </w:r>
      <w:r>
        <w:rPr>
          <w:rFonts w:ascii="Times New Roman" w:hAnsi="Times New Roman"/>
          <w:b w:val="1"/>
          <w:bCs w:val="1"/>
          <w:rtl w:val="0"/>
          <w:lang w:val="ru-RU"/>
        </w:rPr>
        <w:t>,  V.V. Klimenko</w:t>
      </w:r>
      <w:r>
        <w:rPr>
          <w:rFonts w:ascii="Times New Roman" w:hAnsi="Times New Roman"/>
          <w:b w:val="1"/>
          <w:bCs w:val="1"/>
          <w:vertAlign w:val="superscript"/>
          <w:rtl w:val="0"/>
          <w:lang w:val="en-US"/>
        </w:rPr>
        <w:t>2</w:t>
      </w:r>
      <w:r>
        <w:rPr>
          <w:rFonts w:ascii="Times New Roman" w:hAnsi="Times New Roman"/>
          <w:b w:val="1"/>
          <w:bCs w:val="1"/>
          <w:rtl w:val="0"/>
          <w:lang w:val="ru-RU"/>
        </w:rPr>
        <w:t>, E.V. Rozanov</w:t>
      </w: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rtl w:val="0"/>
          <w:lang w:val="ru-RU"/>
        </w:rPr>
        <w:t>, V.G.Merkin</w:t>
      </w:r>
      <w:r>
        <w:rPr>
          <w:rFonts w:ascii="Times New Roman" w:hAnsi="Times New Roman"/>
          <w:b w:val="1"/>
          <w:bCs w:val="1"/>
          <w:vertAlign w:val="superscript"/>
          <w:rtl w:val="0"/>
          <w:lang w:val="en-US"/>
        </w:rPr>
        <w:t>3</w:t>
      </w:r>
      <w:r>
        <w:rPr>
          <w:rFonts w:ascii="Times New Roman" w:hAnsi="Times New Roman"/>
          <w:b w:val="1"/>
          <w:bCs w:val="1"/>
          <w:rtl w:val="0"/>
          <w:lang w:val="ru-RU"/>
        </w:rPr>
        <w:t>, K. A. Sorathia</w:t>
      </w:r>
      <w:r>
        <w:rPr>
          <w:rFonts w:ascii="Times New Roman" w:hAnsi="Times New Roman"/>
          <w:b w:val="1"/>
          <w:bCs w:val="1"/>
          <w:vertAlign w:val="superscript"/>
          <w:rtl w:val="0"/>
          <w:lang w:val="en-US"/>
        </w:rPr>
        <w:t>3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lang w:val="en-US"/>
        </w:rPr>
      </w:pPr>
      <w:r>
        <w:rPr>
          <w:rFonts w:ascii="Times New Roman" w:hAnsi="Times New Roman"/>
          <w:b w:val="1"/>
          <w:bCs w:val="1"/>
          <w:vertAlign w:val="superscript"/>
          <w:rtl w:val="0"/>
          <w:lang w:val="ru-RU"/>
        </w:rPr>
        <w:t>1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en-US"/>
        </w:rPr>
        <w:t>Saint-Petersburg University</w:t>
      </w:r>
      <w:r>
        <w:rPr>
          <w:rFonts w:ascii="Times New Roman" w:hAnsi="Times New Roman"/>
          <w:i w:val="1"/>
          <w:iCs w:val="1"/>
          <w:rtl w:val="0"/>
          <w:lang w:val="ru-RU"/>
        </w:rPr>
        <w:t>, 199034</w:t>
      </w:r>
      <w:r>
        <w:rPr>
          <w:rFonts w:ascii="Times New Roman" w:hAnsi="Times New Roman"/>
          <w:i w:val="1"/>
          <w:iCs w:val="1"/>
          <w:rtl w:val="0"/>
          <w:lang w:val="en-US"/>
        </w:rPr>
        <w:t>, Russian Federation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instrText xml:space="preserve"> HYPERLINK "mailto:a.divin@spbu.ru"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563c1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a.divin@spbu.ru</w:t>
      </w:r>
      <w:r>
        <w:rPr>
          <w:rStyle w:val="None"/>
          <w:lang w:val="ru-RU"/>
        </w:rPr>
        <w:br w:type="textWrapping"/>
      </w:r>
      <w:r>
        <w:rPr/>
        <w:fldChar w:fldCharType="end" w:fldLock="0"/>
      </w:r>
      <w:r>
        <w:rPr>
          <w:rStyle w:val="None"/>
          <w:rFonts w:ascii="Times New Roman" w:hAnsi="Times New Roman"/>
          <w:b w:val="1"/>
          <w:bCs w:val="1"/>
          <w:vertAlign w:val="superscript"/>
          <w:rtl w:val="0"/>
          <w:lang w:val="ru-RU"/>
        </w:rPr>
        <w:t>2</w:t>
      </w:r>
      <w:r>
        <w:rPr>
          <w:rStyle w:val="None"/>
          <w:rFonts w:ascii="Times New Roman" w:hAnsi="Times New Roman"/>
          <w:i w:val="1"/>
          <w:iCs w:val="1"/>
          <w:rtl w:val="0"/>
          <w:lang w:val="ru-RU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West Department of Pushkov IZMIRAN, Kaliningrad, Russia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lang w:val="en-US"/>
        </w:rPr>
      </w:pPr>
      <w:r>
        <w:rPr>
          <w:rStyle w:val="None"/>
          <w:rFonts w:ascii="Times New Roman" w:hAnsi="Times New Roman"/>
          <w:b w:val="1"/>
          <w:bCs w:val="1"/>
          <w:vertAlign w:val="superscript"/>
          <w:rtl w:val="0"/>
          <w:lang w:val="en-US"/>
        </w:rPr>
        <w:t>3</w:t>
      </w:r>
      <w:r>
        <w:rPr>
          <w:rStyle w:val="None"/>
          <w:rFonts w:ascii="Times New Roman" w:hAnsi="Times New Roman"/>
          <w:i w:val="1"/>
          <w:iCs w:val="1"/>
          <w:rtl w:val="0"/>
          <w:lang w:val="ru-RU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JHU/APL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 xml:space="preserve">, Laurel, MD, USA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lang w:val="ru-RU"/>
        </w:rPr>
      </w:pPr>
      <w:r>
        <w:rPr>
          <w:rStyle w:val="None"/>
          <w:rFonts w:ascii="Times New Roman" w:hAnsi="Times New Roman"/>
          <w:rtl w:val="0"/>
          <w:lang w:val="ru-RU"/>
        </w:rPr>
        <w:t xml:space="preserve"> </w:t>
      </w:r>
      <w:r>
        <w:rPr>
          <w:rStyle w:val="None"/>
          <w:lang w:val="ru-RU"/>
        </w:rPr>
        <w:tab/>
      </w:r>
      <w:r>
        <w:rPr>
          <w:rStyle w:val="None"/>
          <w:rFonts w:ascii="Times New Roman" w:hAnsi="Times New Roman"/>
          <w:rtl w:val="0"/>
          <w:lang w:val="ru-RU"/>
        </w:rPr>
        <w:t>Our study presents first results of the two</w:t>
      </w:r>
      <w:r>
        <w:rPr>
          <w:rStyle w:val="None"/>
          <w:rFonts w:ascii="Times New Roman" w:hAnsi="Times New Roman"/>
          <w:rtl w:val="0"/>
          <w:lang w:val="en-US"/>
        </w:rPr>
        <w:t xml:space="preserve">-way </w:t>
      </w:r>
      <w:r>
        <w:rPr>
          <w:rStyle w:val="None"/>
          <w:rFonts w:ascii="Times New Roman" w:hAnsi="Times New Roman"/>
          <w:rtl w:val="0"/>
          <w:lang w:val="ru-RU"/>
        </w:rPr>
        <w:t>coupling of the global MHD model of magnetosphere GAMERA/MAGE and the t</w:t>
      </w:r>
      <w:r>
        <w:rPr>
          <w:rStyle w:val="None"/>
          <w:rFonts w:ascii="Times New Roman" w:hAnsi="Times New Roman"/>
          <w:rtl w:val="0"/>
          <w:lang w:val="en-US"/>
        </w:rPr>
        <w:t>h</w:t>
      </w:r>
      <w:r>
        <w:rPr>
          <w:rStyle w:val="None"/>
          <w:rFonts w:ascii="Times New Roman" w:hAnsi="Times New Roman"/>
          <w:rtl w:val="0"/>
          <w:lang w:val="ru-RU"/>
        </w:rPr>
        <w:t>ermosphere/ionosphere model GSMTIP. GAMERA is a 3D global MHD model which employs high-order and non-diffusive numerics. The three-dimensional GSMTIP model calculates global evolution of density, velocity, temperature, composition of neutral and ionized species of thermosphere and ionosphere. The global MHD model provides field-aligned current into the ionosphere, as well</w:t>
      </w:r>
      <w:r>
        <w:rPr>
          <w:rStyle w:val="None"/>
          <w:rFonts w:ascii="Times New Roman" w:hAnsi="Times New Roman"/>
          <w:rtl w:val="0"/>
          <w:lang w:val="en-US"/>
        </w:rPr>
        <w:t xml:space="preserve"> as</w:t>
      </w:r>
      <w:r>
        <w:rPr>
          <w:rStyle w:val="None"/>
          <w:rFonts w:ascii="Times New Roman" w:hAnsi="Times New Roman"/>
          <w:rtl w:val="0"/>
          <w:lang w:val="ru-RU"/>
        </w:rPr>
        <w:t xml:space="preserve"> an electron precipitation model. Self-consistent ionospheric resistivity computed by the GSMTIP model provides the ionospheric feedback into the magnetosphere. Both models (GAMERA and GSMTIP) contain a separate ionospheric potential solvers and calculate independently the cross polar cap potentials as a diagn</w:t>
      </w:r>
      <w:r>
        <w:rPr>
          <w:rStyle w:val="None"/>
          <w:rFonts w:ascii="Times New Roman" w:hAnsi="Times New Roman"/>
          <w:rtl w:val="0"/>
          <w:lang w:val="en-US"/>
        </w:rPr>
        <w:t>o</w:t>
      </w:r>
      <w:r>
        <w:rPr>
          <w:rStyle w:val="None"/>
          <w:rFonts w:ascii="Times New Roman" w:hAnsi="Times New Roman"/>
          <w:rtl w:val="0"/>
          <w:lang w:val="ru-RU"/>
        </w:rPr>
        <w:t>stics. Comparison of electron precipitation energy and geometry shows that the MHD model and empirical model of precipitation are reasonably in a good match. However, for</w:t>
      </w:r>
      <w:r>
        <w:rPr>
          <w:rStyle w:val="None"/>
          <w:rFonts w:ascii="Times New Roman" w:hAnsi="Times New Roman"/>
          <w:rtl w:val="0"/>
          <w:lang w:val="en-US"/>
        </w:rPr>
        <w:t xml:space="preserve"> the</w:t>
      </w:r>
      <w:r>
        <w:rPr>
          <w:rStyle w:val="None"/>
          <w:rFonts w:ascii="Times New Roman" w:hAnsi="Times New Roman"/>
          <w:rtl w:val="0"/>
          <w:lang w:val="ru-RU"/>
        </w:rPr>
        <w:t xml:space="preserve"> intense magnetic storm of March, the MHD model requires downscaling </w:t>
      </w:r>
      <w:r>
        <w:rPr>
          <w:rStyle w:val="None"/>
          <w:rFonts w:ascii="Times New Roman" w:hAnsi="Times New Roman"/>
          <w:rtl w:val="0"/>
          <w:lang w:val="en-US"/>
        </w:rPr>
        <w:t>of</w:t>
      </w:r>
      <w:r>
        <w:rPr>
          <w:rStyle w:val="None"/>
          <w:rFonts w:ascii="Times New Roman" w:hAnsi="Times New Roman"/>
          <w:rtl w:val="0"/>
          <w:lang w:val="ru-RU"/>
        </w:rPr>
        <w:t xml:space="preserve"> electron energies keeping the total energy flux. </w:t>
      </w:r>
      <w:r>
        <w:rPr>
          <w:rStyle w:val="None"/>
          <w:rFonts w:ascii="Times New Roman" w:hAnsi="Times New Roman"/>
          <w:rtl w:val="0"/>
          <w:lang w:val="en-US"/>
        </w:rPr>
        <w:t xml:space="preserve">The distribution of the neutral gas temperature in the ionosphere serves as a benchmark for the coupled model run. </w:t>
      </w:r>
      <w:r>
        <w:rPr>
          <w:rStyle w:val="None"/>
          <w:rFonts w:ascii="Times New Roman" w:hAnsi="Times New Roman"/>
          <w:rtl w:val="0"/>
          <w:lang w:val="ru-RU"/>
        </w:rPr>
        <w:t>The total ionospheric-magnetospheric current in the model appears to be close to empirical values measured by AMPERE</w:t>
      </w:r>
      <w:r>
        <w:rPr>
          <w:rStyle w:val="None"/>
          <w:rFonts w:ascii="Times New Roman" w:hAnsi="Times New Roman"/>
          <w:rtl w:val="0"/>
          <w:lang w:val="en-US"/>
        </w:rPr>
        <w:t xml:space="preserve"> project</w:t>
      </w:r>
      <w:r>
        <w:rPr>
          <w:rStyle w:val="None"/>
          <w:rFonts w:ascii="Times New Roman" w:hAnsi="Times New Roman"/>
          <w:rtl w:val="0"/>
          <w:lang w:val="ru-RU"/>
        </w:rPr>
        <w:t>. The success of such a coupled model will allow us to improve our understanding of global processes in those areas of the ionosphere where direct measurements are difficult.</w:t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lang w:val="ru-RU"/>
        </w:rPr>
      </w:pPr>
    </w:p>
    <w:p>
      <w:pPr>
        <w:pStyle w:val="Body A"/>
        <w:jc w:val="both"/>
      </w:pPr>
      <w:r>
        <w:rPr>
          <w:rStyle w:val="None"/>
          <w:rFonts w:ascii="Times New Roman" w:hAnsi="Times New Roman"/>
          <w:rtl w:val="0"/>
          <w:lang w:val="ru-RU"/>
        </w:rPr>
        <w:t>This study is supported by State funding of Saint-Petersburg University, No 116234986.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" w:lineRule="atLeast"/>
      <w:ind w:left="0" w:right="0" w:firstLine="0"/>
      <w:jc w:val="left"/>
      <w:outlineLvl w:val="0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4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i w:val="1"/>
      <w:iCs w:val="1"/>
      <w:outline w:val="0"/>
      <w:color w:val="0563c1"/>
      <w:u w:val="single" w:color="0563c1"/>
      <w:lang w:val="ru-RU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