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ind w:left="1" w:hanging="1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Numerical simulations of magnetic reconnection in SPERF-AREX device (Harbin Institute of Technology).</w: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</w:pPr>
      <w:r>
        <w:rPr>
          <w:rFonts w:ascii="Times New Roman" w:hAnsi="Times New Roman"/>
          <w:b w:val="1"/>
          <w:bCs w:val="1"/>
          <w:u w:val="single"/>
          <w:rtl w:val="0"/>
          <w:lang w:val="en-US"/>
        </w:rPr>
        <w:t xml:space="preserve">Divin </w:t>
      </w:r>
      <w:r>
        <w:rPr>
          <w:rFonts w:ascii="Times New Roman" w:hAnsi="Times New Roman" w:hint="default"/>
          <w:b w:val="1"/>
          <w:bCs w:val="1"/>
          <w:u w:val="single"/>
          <w:rtl w:val="0"/>
          <w:lang w:val="ru-RU"/>
        </w:rPr>
        <w:t>А</w:t>
      </w:r>
      <w:r>
        <w:rPr>
          <w:rFonts w:ascii="Times New Roman" w:hAnsi="Times New Roman"/>
          <w:b w:val="1"/>
          <w:bCs w:val="1"/>
          <w:u w:val="single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u w:val="single"/>
          <w:rtl w:val="0"/>
          <w:lang w:val="en-US"/>
        </w:rPr>
        <w:t>V</w:t>
      </w:r>
      <w:r>
        <w:rPr>
          <w:rFonts w:ascii="Times New Roman" w:hAnsi="Times New Roman"/>
          <w:b w:val="1"/>
          <w:bCs w:val="1"/>
          <w:u w:val="single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vertAlign w:val="superscript"/>
          <w:rtl w:val="0"/>
          <w:lang w:val="ru-RU"/>
        </w:rPr>
        <w:t>1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, </w:t>
      </w:r>
      <w:r>
        <w:rPr>
          <w:rFonts w:ascii="Times New Roman" w:hAnsi="Times New Roman"/>
          <w:b w:val="1"/>
          <w:bCs w:val="1"/>
          <w:rtl w:val="0"/>
          <w:lang w:val="en-US"/>
        </w:rPr>
        <w:t>Semenov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en-US"/>
        </w:rPr>
        <w:t>V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 S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vertAlign w:val="superscript"/>
          <w:rtl w:val="0"/>
          <w:lang w:val="ru-RU"/>
        </w:rPr>
        <w:t>1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, </w:t>
      </w:r>
      <w:r>
        <w:rPr>
          <w:rFonts w:ascii="Times New Roman" w:hAnsi="Times New Roman"/>
          <w:b w:val="1"/>
          <w:bCs w:val="1"/>
          <w:rtl w:val="0"/>
          <w:lang w:val="en-US"/>
        </w:rPr>
        <w:t>Apatenkov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en-US"/>
        </w:rPr>
        <w:t>S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rtl w:val="0"/>
          <w:lang w:val="en-US"/>
        </w:rPr>
        <w:t>V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vertAlign w:val="superscript"/>
          <w:rtl w:val="0"/>
          <w:lang w:val="ru-RU"/>
        </w:rPr>
        <w:t>1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, </w:t>
      </w:r>
      <w:r>
        <w:rPr>
          <w:rFonts w:ascii="Times New Roman" w:hAnsi="Times New Roman"/>
          <w:b w:val="1"/>
          <w:bCs w:val="1"/>
          <w:rtl w:val="0"/>
          <w:lang w:val="en-US"/>
        </w:rPr>
        <w:t>Paramonik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en-US"/>
        </w:rPr>
        <w:t>I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rtl w:val="0"/>
          <w:lang w:val="en-US"/>
        </w:rPr>
        <w:t>P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vertAlign w:val="superscript"/>
          <w:rtl w:val="0"/>
          <w:lang w:val="ru-RU"/>
        </w:rPr>
        <w:t>1</w:t>
      </w:r>
      <w:r>
        <w:rPr>
          <w:rFonts w:ascii="Times New Roman" w:hAnsi="Times New Roman"/>
          <w:b w:val="1"/>
          <w:bCs w:val="1"/>
          <w:rtl w:val="0"/>
          <w:lang w:val="ru-RU"/>
        </w:rPr>
        <w:t>, Zhong D.</w:t>
      </w:r>
      <w:r>
        <w:rPr>
          <w:rFonts w:ascii="Times New Roman" w:hAnsi="Times New Roman"/>
          <w:b w:val="1"/>
          <w:bCs w:val="1"/>
          <w:vertAlign w:val="superscript"/>
          <w:rtl w:val="0"/>
          <w:lang w:val="ru-RU"/>
        </w:rPr>
        <w:t>1</w:t>
      </w:r>
      <w:r>
        <w:rPr>
          <w:rFonts w:ascii="Times New Roman" w:hAnsi="Times New Roman"/>
          <w:b w:val="1"/>
          <w:bCs w:val="1"/>
          <w:rtl w:val="0"/>
          <w:lang w:val="pt-PT"/>
        </w:rPr>
        <w:t>, Mao A.</w:t>
      </w:r>
      <w:r>
        <w:rPr>
          <w:rFonts w:ascii="Times New Roman" w:hAnsi="Times New Roman"/>
          <w:b w:val="1"/>
          <w:bCs w:val="1"/>
          <w:vertAlign w:val="superscript"/>
          <w:rtl w:val="0"/>
          <w:lang w:val="ru-RU"/>
        </w:rPr>
        <w:t>2</w:t>
      </w:r>
      <w:r>
        <w:rPr>
          <w:rFonts w:ascii="Times New Roman" w:hAnsi="Times New Roman"/>
          <w:b w:val="1"/>
          <w:bCs w:val="1"/>
          <w:rtl w:val="0"/>
          <w:lang w:val="en-US"/>
        </w:rPr>
        <w:t>, He X.</w:t>
      </w:r>
      <w:r>
        <w:rPr>
          <w:rFonts w:ascii="Times New Roman" w:hAnsi="Times New Roman"/>
          <w:b w:val="1"/>
          <w:bCs w:val="1"/>
          <w:vertAlign w:val="superscript"/>
          <w:rtl w:val="0"/>
          <w:lang w:val="ru-RU"/>
        </w:rPr>
        <w:t>2</w:t>
      </w:r>
      <w:r>
        <w:rPr>
          <w:rFonts w:ascii="Times New Roman" w:hAnsi="Times New Roman"/>
          <w:b w:val="1"/>
          <w:bCs w:val="1"/>
          <w:rtl w:val="0"/>
          <w:lang w:val="ru-RU"/>
        </w:rPr>
        <w:t>, Liu S.</w:t>
      </w:r>
      <w:r>
        <w:rPr>
          <w:rFonts w:ascii="Times New Roman" w:hAnsi="Times New Roman"/>
          <w:b w:val="1"/>
          <w:bCs w:val="1"/>
          <w:vertAlign w:val="superscript"/>
          <w:rtl w:val="0"/>
          <w:lang w:val="ru-RU"/>
        </w:rPr>
        <w:t>2</w:t>
      </w:r>
      <w:r>
        <w:rPr>
          <w:rFonts w:ascii="Times New Roman" w:hAnsi="Times New Roman"/>
          <w:b w:val="1"/>
          <w:bCs w:val="1"/>
          <w:rtl w:val="0"/>
          <w:lang w:val="ru-RU"/>
        </w:rPr>
        <w:t>, Wang X.</w:t>
      </w:r>
      <w:r>
        <w:rPr>
          <w:rFonts w:ascii="Times New Roman" w:hAnsi="Times New Roman"/>
          <w:b w:val="1"/>
          <w:bCs w:val="1"/>
          <w:vertAlign w:val="superscript"/>
          <w:rtl w:val="0"/>
          <w:lang w:val="ru-RU"/>
        </w:rPr>
        <w:t>2</w: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vertAlign w:val="superscript"/>
          <w:rtl w:val="0"/>
          <w:lang w:val="ru-RU"/>
        </w:rPr>
        <w:t>1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rtl w:val="0"/>
          <w:lang w:val="en-US"/>
        </w:rPr>
        <w:t>Saint-Petersburg University</w:t>
      </w:r>
      <w:r>
        <w:rPr>
          <w:rFonts w:ascii="Times New Roman" w:hAnsi="Times New Roman"/>
          <w:i w:val="1"/>
          <w:iCs w:val="1"/>
          <w:rtl w:val="0"/>
          <w:lang w:val="ru-RU"/>
        </w:rPr>
        <w:t>, 199034</w:t>
      </w:r>
      <w:r>
        <w:rPr>
          <w:rFonts w:ascii="Times New Roman" w:hAnsi="Times New Roman"/>
          <w:i w:val="1"/>
          <w:iCs w:val="1"/>
          <w:rtl w:val="0"/>
          <w:lang w:val="en-US"/>
        </w:rPr>
        <w:t>, Russian Federation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563c1"/>
          <w:u w:val="single" w:color="0563c1"/>
          <w:lang w:val="ru-RU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563c1"/>
          <w:u w:val="single" w:color="0563c1"/>
          <w:lang w:val="ru-RU"/>
          <w14:textFill>
            <w14:solidFill>
              <w14:srgbClr w14:val="0563C1"/>
            </w14:solidFill>
          </w14:textFill>
        </w:rPr>
        <w:instrText xml:space="preserve"> HYPERLINK "mailto:a.divin@spbu.ru"</w:instrTex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563c1"/>
          <w:u w:val="single" w:color="0563c1"/>
          <w:lang w:val="ru-RU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i w:val="1"/>
          <w:iCs w:val="1"/>
          <w:outline w:val="0"/>
          <w:color w:val="0563c1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>a.divin@spbu.ru</w:t>
      </w:r>
      <w:r>
        <w:rPr>
          <w:rStyle w:val="None"/>
          <w:lang w:val="ru-RU"/>
        </w:rPr>
        <w:br w:type="textWrapping"/>
      </w:r>
      <w:r>
        <w:rPr/>
        <w:fldChar w:fldCharType="end" w:fldLock="0"/>
      </w:r>
      <w:r>
        <w:rPr>
          <w:rStyle w:val="None"/>
          <w:rFonts w:ascii="Times New Roman" w:hAnsi="Times New Roman"/>
          <w:b w:val="1"/>
          <w:bCs w:val="1"/>
          <w:vertAlign w:val="superscript"/>
          <w:rtl w:val="0"/>
          <w:lang w:val="ru-RU"/>
        </w:rPr>
        <w:t>2</w:t>
      </w:r>
      <w:r>
        <w:rPr>
          <w:rStyle w:val="None"/>
          <w:rFonts w:ascii="Times New Roman" w:hAnsi="Times New Roman"/>
          <w:i w:val="1"/>
          <w:iCs w:val="1"/>
          <w:rtl w:val="0"/>
          <w:lang w:val="ru-RU"/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rtl w:val="0"/>
          <w:lang w:val="en-US"/>
        </w:rPr>
        <w:t>Harbin Institute of Technology, Harbin, 150001, People</w:t>
      </w:r>
      <w:r>
        <w:rPr>
          <w:rStyle w:val="None"/>
          <w:rFonts w:ascii="Liberation Serif" w:cs="Liberation Serif" w:hAnsi="Liberation Serif" w:eastAsia="Liberation Serif"/>
          <w:i w:val="1"/>
          <w:iCs w:val="1"/>
          <w:rtl w:val="0"/>
          <w:lang w:val="ru-RU"/>
        </w:rPr>
        <w:t>’</w:t>
      </w:r>
      <w:r>
        <w:rPr>
          <w:rStyle w:val="None"/>
          <w:rFonts w:ascii="Times New Roman" w:hAnsi="Times New Roman"/>
          <w:i w:val="1"/>
          <w:iCs w:val="1"/>
          <w:rtl w:val="0"/>
          <w:lang w:val="en-US"/>
        </w:rPr>
        <w:t>s Republic of China</w:t>
      </w:r>
    </w:p>
    <w:p>
      <w:pPr>
        <w:pStyle w:val="Body A"/>
        <w:jc w:val="both"/>
        <w:rPr>
          <w:rStyle w:val="None"/>
          <w:rFonts w:ascii="Times New Roman" w:cs="Times New Roman" w:hAnsi="Times New Roman" w:eastAsia="Times New Roman"/>
          <w:lang w:val="ru-RU"/>
        </w:rPr>
      </w:pPr>
      <w:r>
        <w:rPr>
          <w:rStyle w:val="None"/>
          <w:rFonts w:ascii="Times New Roman" w:hAnsi="Times New Roman"/>
          <w:rtl w:val="0"/>
          <w:lang w:val="ru-RU"/>
        </w:rPr>
        <w:t xml:space="preserve"> </w:t>
      </w:r>
      <w:r>
        <w:rPr>
          <w:rStyle w:val="None"/>
          <w:lang w:val="ru-RU"/>
        </w:rPr>
        <w:tab/>
      </w:r>
      <w:r>
        <w:rPr>
          <w:rStyle w:val="None"/>
          <w:rFonts w:ascii="Times New Roman" w:hAnsi="Times New Roman"/>
          <w:rtl w:val="0"/>
          <w:lang w:val="en-US"/>
        </w:rPr>
        <w:t>In this study we p</w:t>
      </w:r>
      <w:r>
        <w:rPr>
          <w:rStyle w:val="None"/>
          <w:rFonts w:ascii="Times New Roman" w:hAnsi="Times New Roman"/>
          <w:rtl w:val="0"/>
          <w:lang w:val="ru-RU"/>
        </w:rPr>
        <w:t>resent</w:t>
      </w:r>
      <w:r>
        <w:rPr>
          <w:rStyle w:val="None"/>
          <w:rFonts w:ascii="Times New Roman" w:hAnsi="Times New Roman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rtl w:val="0"/>
          <w:lang w:val="ru-RU"/>
        </w:rPr>
        <w:t xml:space="preserve">results of three-dimensional </w:t>
      </w:r>
      <w:r>
        <w:rPr>
          <w:rStyle w:val="None"/>
          <w:rFonts w:ascii="Times New Roman" w:hAnsi="Times New Roman"/>
          <w:rtl w:val="0"/>
          <w:lang w:val="en-US"/>
        </w:rPr>
        <w:t>PIC simulations</w:t>
      </w:r>
      <w:r>
        <w:rPr>
          <w:rStyle w:val="None"/>
          <w:rFonts w:ascii="Times New Roman" w:hAnsi="Times New Roman"/>
          <w:rtl w:val="0"/>
          <w:lang w:val="ru-RU"/>
        </w:rPr>
        <w:t xml:space="preserve"> of the laboratory magnetosphere dynamics in</w:t>
      </w:r>
      <w:r>
        <w:rPr>
          <w:rStyle w:val="None"/>
          <w:rFonts w:ascii="Times New Roman" w:hAnsi="Times New Roman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rtl w:val="0"/>
          <w:lang w:val="ru-RU"/>
        </w:rPr>
        <w:t>the Space Plasma Environment Research Facility (</w:t>
      </w:r>
      <w:r>
        <w:rPr>
          <w:rStyle w:val="None"/>
          <w:rFonts w:ascii="Times New Roman" w:hAnsi="Times New Roman"/>
          <w:rtl w:val="0"/>
          <w:lang w:val="en-US"/>
        </w:rPr>
        <w:t xml:space="preserve">SPERF, </w:t>
      </w:r>
      <w:r>
        <w:rPr>
          <w:rStyle w:val="None"/>
          <w:rFonts w:ascii="Times New Roman" w:hAnsi="Times New Roman"/>
          <w:rtl w:val="0"/>
          <w:lang w:val="ru-RU"/>
        </w:rPr>
        <w:t xml:space="preserve">Harbin, China). </w:t>
      </w:r>
      <w:r>
        <w:rPr>
          <w:rStyle w:val="None"/>
          <w:rFonts w:ascii="Times New Roman" w:hAnsi="Times New Roman"/>
          <w:rtl w:val="0"/>
          <w:lang w:val="en-US"/>
        </w:rPr>
        <w:t>Magnetosheath p</w:t>
      </w:r>
      <w:r>
        <w:rPr>
          <w:rStyle w:val="None"/>
          <w:rFonts w:ascii="Times New Roman" w:hAnsi="Times New Roman"/>
          <w:rtl w:val="0"/>
          <w:lang w:val="ru-RU"/>
        </w:rPr>
        <w:t>lasma</w:t>
      </w:r>
      <w:r>
        <w:rPr>
          <w:rStyle w:val="None"/>
          <w:rFonts w:ascii="Times New Roman" w:hAnsi="Times New Roman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rtl w:val="0"/>
          <w:lang w:val="ru-RU"/>
        </w:rPr>
        <w:t xml:space="preserve">is formed by ionization of background gas </w:t>
      </w:r>
      <w:r>
        <w:rPr>
          <w:rStyle w:val="None"/>
          <w:rFonts w:ascii="Times New Roman" w:hAnsi="Times New Roman"/>
          <w:rtl w:val="0"/>
          <w:lang w:val="en-US"/>
        </w:rPr>
        <w:t xml:space="preserve">and </w:t>
      </w:r>
      <w:r>
        <w:rPr>
          <w:rStyle w:val="None"/>
          <w:rFonts w:ascii="Times New Roman" w:hAnsi="Times New Roman"/>
          <w:rtl w:val="0"/>
          <w:lang w:val="ru-RU"/>
        </w:rPr>
        <w:t xml:space="preserve">moves when the magnetic flux is pumped </w:t>
      </w:r>
      <w:r>
        <w:rPr>
          <w:rStyle w:val="None"/>
          <w:rFonts w:ascii="Times New Roman" w:hAnsi="Times New Roman"/>
          <w:rtl w:val="0"/>
          <w:lang w:val="en-US"/>
        </w:rPr>
        <w:t>by</w:t>
      </w:r>
      <w:r>
        <w:rPr>
          <w:rStyle w:val="None"/>
          <w:rFonts w:ascii="Times New Roman" w:hAnsi="Times New Roman"/>
          <w:rtl w:val="0"/>
          <w:lang w:val="ru-RU"/>
        </w:rPr>
        <w:t xml:space="preserve"> </w:t>
      </w:r>
      <w:r>
        <w:rPr>
          <w:rStyle w:val="None"/>
          <w:rFonts w:ascii="Times New Roman" w:hAnsi="Times New Roman"/>
          <w:rtl w:val="0"/>
          <w:lang w:val="en-US"/>
        </w:rPr>
        <w:t>large, 2m-diameter</w:t>
      </w:r>
      <w:r>
        <w:rPr>
          <w:rStyle w:val="None"/>
          <w:rFonts w:ascii="Times New Roman" w:hAnsi="Times New Roman"/>
          <w:rtl w:val="0"/>
          <w:lang w:val="ru-RU"/>
        </w:rPr>
        <w:t xml:space="preserve"> MS coils. This approach allows setting the required magnetic field and plasma drift velocity. The calculations </w:t>
      </w:r>
      <w:r>
        <w:rPr>
          <w:rStyle w:val="None"/>
          <w:rFonts w:ascii="Times New Roman" w:hAnsi="Times New Roman"/>
          <w:rtl w:val="0"/>
          <w:lang w:val="en-US"/>
        </w:rPr>
        <w:t>are</w:t>
      </w:r>
      <w:r>
        <w:rPr>
          <w:rStyle w:val="None"/>
          <w:rFonts w:ascii="Times New Roman" w:hAnsi="Times New Roman"/>
          <w:rtl w:val="0"/>
          <w:lang w:val="ru-RU"/>
        </w:rPr>
        <w:t xml:space="preserve"> performed by the </w:t>
      </w:r>
      <w:r>
        <w:rPr>
          <w:rStyle w:val="None"/>
          <w:rFonts w:ascii="Times New Roman" w:hAnsi="Times New Roman"/>
          <w:rtl w:val="0"/>
          <w:lang w:val="en-US"/>
        </w:rPr>
        <w:t>parallel code</w:t>
      </w:r>
      <w:r>
        <w:rPr>
          <w:rStyle w:val="None"/>
          <w:rFonts w:ascii="Times New Roman" w:hAnsi="Times New Roman"/>
          <w:rtl w:val="0"/>
          <w:lang w:val="ru-RU"/>
        </w:rPr>
        <w:t xml:space="preserve"> iPIC3D, which implements a semi-implicit </w:t>
      </w:r>
      <w:r>
        <w:rPr>
          <w:rStyle w:val="None"/>
          <w:rFonts w:ascii="Times New Roman" w:hAnsi="Times New Roman"/>
          <w:rtl w:val="0"/>
          <w:lang w:val="en-US"/>
        </w:rPr>
        <w:t xml:space="preserve">Particle-in-Cell </w:t>
      </w:r>
      <w:r>
        <w:rPr>
          <w:rStyle w:val="None"/>
          <w:rFonts w:ascii="Times New Roman" w:hAnsi="Times New Roman"/>
          <w:rtl w:val="0"/>
          <w:lang w:val="ru-RU"/>
        </w:rPr>
        <w:t xml:space="preserve">method. The main </w:t>
      </w:r>
      <w:r>
        <w:rPr>
          <w:rStyle w:val="None"/>
          <w:rFonts w:ascii="Times New Roman" w:hAnsi="Times New Roman"/>
          <w:rtl w:val="0"/>
          <w:lang w:val="en-US"/>
        </w:rPr>
        <w:t>improvement</w:t>
      </w:r>
      <w:r>
        <w:rPr>
          <w:rStyle w:val="None"/>
          <w:rFonts w:ascii="Times New Roman" w:hAnsi="Times New Roman"/>
          <w:rtl w:val="0"/>
          <w:lang w:val="ru-RU"/>
        </w:rPr>
        <w:t xml:space="preserve"> in the </w:t>
      </w:r>
      <w:r>
        <w:rPr>
          <w:rStyle w:val="None"/>
          <w:rFonts w:ascii="Times New Roman" w:hAnsi="Times New Roman"/>
          <w:rtl w:val="0"/>
          <w:lang w:val="en-US"/>
        </w:rPr>
        <w:t xml:space="preserve">presented model </w:t>
      </w:r>
      <w:r>
        <w:rPr>
          <w:rStyle w:val="None"/>
          <w:rFonts w:ascii="Times New Roman" w:hAnsi="Times New Roman"/>
          <w:rtl w:val="0"/>
          <w:lang w:val="ru-RU"/>
        </w:rPr>
        <w:t>of the AREX</w:t>
      </w:r>
      <w:r>
        <w:rPr>
          <w:rStyle w:val="None"/>
          <w:rFonts w:ascii="Times New Roman" w:hAnsi="Times New Roman"/>
          <w:rtl w:val="0"/>
          <w:lang w:val="en-US"/>
        </w:rPr>
        <w:t xml:space="preserve"> (Asymmetric REConnection)</w:t>
      </w:r>
      <w:r>
        <w:rPr>
          <w:rStyle w:val="None"/>
          <w:rFonts w:ascii="Times New Roman" w:hAnsi="Times New Roman"/>
          <w:rtl w:val="0"/>
          <w:lang w:val="ru-RU"/>
        </w:rPr>
        <w:t xml:space="preserve"> experiment was the addition of a new module with an internal boundary condition; the plasma in the computational domain </w:t>
      </w:r>
      <w:r>
        <w:rPr>
          <w:rStyle w:val="None"/>
          <w:rFonts w:ascii="Times New Roman" w:hAnsi="Times New Roman"/>
          <w:rtl w:val="0"/>
          <w:lang w:val="en-US"/>
        </w:rPr>
        <w:t>moves</w:t>
      </w:r>
      <w:r>
        <w:rPr>
          <w:rStyle w:val="None"/>
          <w:rFonts w:ascii="Times New Roman" w:hAnsi="Times New Roman"/>
          <w:rtl w:val="0"/>
          <w:lang w:val="ru-RU"/>
        </w:rPr>
        <w:t xml:space="preserve"> self-consistently by changing the current in the main MS coils. The </w:t>
      </w:r>
      <w:r>
        <w:rPr>
          <w:rStyle w:val="None"/>
          <w:rFonts w:ascii="Times New Roman" w:hAnsi="Times New Roman"/>
          <w:rtl w:val="0"/>
          <w:lang w:val="en-US"/>
        </w:rPr>
        <w:t>study</w:t>
      </w:r>
      <w:r>
        <w:rPr>
          <w:rStyle w:val="None"/>
          <w:rFonts w:ascii="Times New Roman" w:hAnsi="Times New Roman"/>
          <w:rtl w:val="0"/>
          <w:lang w:val="ru-RU"/>
        </w:rPr>
        <w:t xml:space="preserve"> analyzes the </w:t>
      </w:r>
      <w:r>
        <w:rPr>
          <w:rStyle w:val="None"/>
          <w:rFonts w:ascii="Times New Roman" w:hAnsi="Times New Roman"/>
          <w:rtl w:val="0"/>
          <w:lang w:val="en-US"/>
        </w:rPr>
        <w:t>signatures</w:t>
      </w:r>
      <w:r>
        <w:rPr>
          <w:rStyle w:val="None"/>
          <w:rFonts w:ascii="Times New Roman" w:hAnsi="Times New Roman"/>
          <w:rtl w:val="0"/>
          <w:lang w:val="ru-RU"/>
        </w:rPr>
        <w:t xml:space="preserve"> of magnetic reconnection on kinetic scales of the order of the electron gyroradius, with parameters </w:t>
      </w:r>
      <w:r>
        <w:rPr>
          <w:rStyle w:val="None"/>
          <w:rFonts w:ascii="Times New Roman" w:hAnsi="Times New Roman"/>
          <w:rtl w:val="0"/>
          <w:lang w:val="en-US"/>
        </w:rPr>
        <w:t>typical</w:t>
      </w:r>
      <w:r>
        <w:rPr>
          <w:rStyle w:val="None"/>
          <w:rFonts w:ascii="Times New Roman" w:hAnsi="Times New Roman"/>
          <w:rtl w:val="0"/>
          <w:lang w:val="ru-RU"/>
        </w:rPr>
        <w:t xml:space="preserve"> </w:t>
      </w:r>
      <w:r>
        <w:rPr>
          <w:rStyle w:val="None"/>
          <w:rFonts w:ascii="Times New Roman" w:hAnsi="Times New Roman"/>
          <w:rtl w:val="0"/>
          <w:lang w:val="en-US"/>
        </w:rPr>
        <w:t>for</w:t>
      </w:r>
      <w:r>
        <w:rPr>
          <w:rStyle w:val="None"/>
          <w:rFonts w:ascii="Times New Roman" w:hAnsi="Times New Roman"/>
          <w:rtl w:val="0"/>
          <w:lang w:val="ru-RU"/>
        </w:rPr>
        <w:t xml:space="preserve"> the asymmetric</w:t>
      </w:r>
      <w:r>
        <w:rPr>
          <w:rStyle w:val="None"/>
          <w:rFonts w:ascii="Times New Roman" w:hAnsi="Times New Roman"/>
          <w:rtl w:val="0"/>
          <w:lang w:val="en-US"/>
        </w:rPr>
        <w:t xml:space="preserve"> dayside </w:t>
      </w:r>
      <w:r>
        <w:rPr>
          <w:rStyle w:val="None"/>
          <w:rFonts w:ascii="Times New Roman" w:hAnsi="Times New Roman"/>
          <w:rtl w:val="0"/>
          <w:lang w:val="ru-RU"/>
        </w:rPr>
        <w:t xml:space="preserve">reconnection in the AREX-SPERF experiment. The configuration of the current sheet in the diffusion region is </w:t>
      </w:r>
      <w:r>
        <w:rPr>
          <w:rStyle w:val="None"/>
          <w:rFonts w:ascii="Times New Roman" w:hAnsi="Times New Roman"/>
          <w:rtl w:val="0"/>
          <w:lang w:val="en-US"/>
        </w:rPr>
        <w:t>studied;</w:t>
      </w:r>
      <w:r>
        <w:rPr>
          <w:rStyle w:val="None"/>
          <w:rFonts w:ascii="Times New Roman" w:hAnsi="Times New Roman"/>
          <w:rtl w:val="0"/>
          <w:lang w:val="ru-RU"/>
        </w:rPr>
        <w:t xml:space="preserve"> appearance of a region with electron jets</w:t>
      </w:r>
      <w:r>
        <w:rPr>
          <w:rStyle w:val="None"/>
          <w:rFonts w:ascii="Times New Roman" w:hAnsi="Times New Roman"/>
          <w:rtl w:val="0"/>
          <w:lang w:val="en-US"/>
        </w:rPr>
        <w:t xml:space="preserve"> and</w:t>
      </w:r>
      <w:r>
        <w:rPr>
          <w:rStyle w:val="None"/>
          <w:rFonts w:ascii="Times New Roman" w:hAnsi="Times New Roman"/>
          <w:rtl w:val="0"/>
          <w:lang w:val="ru-RU"/>
        </w:rPr>
        <w:t xml:space="preserve"> significant non-gyrotropy and a magnetic Hall field is shown.</w:t>
      </w:r>
      <w:r>
        <w:rPr>
          <w:rStyle w:val="None"/>
          <w:rFonts w:ascii="Times New Roman" w:hAnsi="Times New Roman"/>
          <w:rtl w:val="0"/>
          <w:lang w:val="en-US"/>
        </w:rPr>
        <w:t xml:space="preserve"> We apply </w:t>
      </w:r>
      <w:r>
        <w:rPr>
          <w:rStyle w:val="None"/>
          <w:rFonts w:ascii="Times New Roman" w:hAnsi="Times New Roman"/>
          <w:rtl w:val="0"/>
          <w:lang w:val="ru-RU"/>
        </w:rPr>
        <w:t xml:space="preserve">the </w:t>
      </w:r>
      <w:r>
        <w:rPr>
          <w:rStyle w:val="None"/>
          <w:rFonts w:ascii="Times New Roman" w:hAnsi="Times New Roman"/>
          <w:b w:val="1"/>
          <w:bCs w:val="1"/>
          <w:rtl w:val="0"/>
          <w:lang w:val="ru-RU"/>
        </w:rPr>
        <w:t>FOTE</w:t>
      </w:r>
      <w:r>
        <w:rPr>
          <w:rStyle w:val="None"/>
          <w:rFonts w:ascii="Times New Roman" w:hAnsi="Times New Roman"/>
          <w:rtl w:val="0"/>
          <w:lang w:val="ru-RU"/>
        </w:rPr>
        <w:t xml:space="preserve"> (First-Order Taylor Expansion) method</w:t>
      </w:r>
      <w:r>
        <w:rPr>
          <w:rStyle w:val="None"/>
          <w:rFonts w:ascii="Times New Roman" w:hAnsi="Times New Roman"/>
          <w:rtl w:val="0"/>
          <w:lang w:val="en-US"/>
        </w:rPr>
        <w:t xml:space="preserve"> t</w:t>
      </w:r>
      <w:r>
        <w:rPr>
          <w:rStyle w:val="None"/>
          <w:rFonts w:ascii="Times New Roman" w:hAnsi="Times New Roman"/>
          <w:rtl w:val="0"/>
          <w:lang w:val="ru-RU"/>
        </w:rPr>
        <w:t>o analyze the magnetic topology</w:t>
      </w:r>
      <w:r>
        <w:rPr>
          <w:rStyle w:val="None"/>
          <w:rFonts w:ascii="Times New Roman" w:hAnsi="Times New Roman"/>
          <w:rtl w:val="0"/>
          <w:lang w:val="en-US"/>
        </w:rPr>
        <w:t xml:space="preserve"> and detect</w:t>
      </w:r>
      <w:r>
        <w:rPr>
          <w:rStyle w:val="None"/>
          <w:rFonts w:ascii="Times New Roman" w:hAnsi="Times New Roman"/>
          <w:rtl w:val="0"/>
          <w:lang w:val="ru-RU"/>
        </w:rPr>
        <w:t xml:space="preserve"> an X-line on the dayside</w:t>
      </w:r>
      <w:r>
        <w:rPr>
          <w:rStyle w:val="None"/>
          <w:rFonts w:ascii="Times New Roman" w:hAnsi="Times New Roman"/>
          <w:rtl w:val="0"/>
          <w:lang w:val="en-US"/>
        </w:rPr>
        <w:t xml:space="preserve">. </w:t>
      </w:r>
      <w:r>
        <w:rPr>
          <w:rStyle w:val="None"/>
          <w:rFonts w:ascii="Times New Roman" w:hAnsi="Times New Roman"/>
          <w:rtl w:val="0"/>
          <w:lang w:val="ru-RU"/>
        </w:rPr>
        <w:t xml:space="preserve">It is shown that the </w:t>
      </w:r>
      <w:r>
        <w:rPr>
          <w:rStyle w:val="None"/>
          <w:rFonts w:ascii="Times New Roman" w:hAnsi="Times New Roman"/>
          <w:b w:val="1"/>
          <w:bCs w:val="1"/>
          <w:rtl w:val="0"/>
          <w:lang w:val="ru-RU"/>
        </w:rPr>
        <w:t>FOTE</w:t>
      </w:r>
      <w:r>
        <w:rPr>
          <w:rStyle w:val="None"/>
          <w:rFonts w:ascii="Times New Roman" w:hAnsi="Times New Roman"/>
          <w:rtl w:val="0"/>
          <w:lang w:val="ru-RU"/>
        </w:rPr>
        <w:t xml:space="preserve"> method will allow us to isolate the passage of the</w:t>
      </w:r>
      <w:r>
        <w:rPr>
          <w:rStyle w:val="None"/>
          <w:rFonts w:ascii="Times New Roman" w:hAnsi="Times New Roman"/>
          <w:rtl w:val="0"/>
          <w:lang w:val="en-US"/>
        </w:rPr>
        <w:t xml:space="preserve"> null points and</w:t>
      </w:r>
      <w:r>
        <w:rPr>
          <w:rStyle w:val="None"/>
          <w:rFonts w:ascii="Times New Roman" w:hAnsi="Times New Roman"/>
          <w:rtl w:val="0"/>
          <w:lang w:val="ru-RU"/>
        </w:rPr>
        <w:t xml:space="preserve"> reconnection region vicinity in the experimental data.</w:t>
      </w:r>
    </w:p>
    <w:p>
      <w:pPr>
        <w:pStyle w:val="Body A"/>
        <w:jc w:val="both"/>
        <w:rPr>
          <w:rStyle w:val="None"/>
          <w:rFonts w:ascii="Times New Roman" w:cs="Times New Roman" w:hAnsi="Times New Roman" w:eastAsia="Times New Roman"/>
          <w:lang w:val="ru-RU"/>
        </w:rPr>
      </w:pPr>
    </w:p>
    <w:p>
      <w:pPr>
        <w:pStyle w:val="Body A"/>
        <w:jc w:val="both"/>
      </w:pPr>
      <w:r>
        <w:rPr>
          <w:rStyle w:val="None"/>
          <w:rFonts w:ascii="Times New Roman" w:hAnsi="Times New Roman"/>
          <w:rtl w:val="0"/>
          <w:lang w:val="ru-RU"/>
        </w:rPr>
        <w:t>The work was supported by the Russian Science Foundation, project No. 23-47-00084 "Magnetic Reconnection in Space and Laboratory Plasmas: Computer Simulations and Empirical Modeling".</w:t>
      </w:r>
      <w:r>
        <w:rPr>
          <w:rStyle w:val="None"/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iberation Serif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0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0" w:lineRule="atLeast"/>
      <w:ind w:left="0" w:right="0" w:firstLine="0"/>
      <w:jc w:val="left"/>
      <w:outlineLvl w:val="0"/>
    </w:pPr>
    <w:rPr>
      <w:rFonts w:ascii="Liberation Serif" w:cs="Liberation Serif" w:hAnsi="Liberation Serif" w:eastAsia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-4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i w:val="1"/>
      <w:iCs w:val="1"/>
      <w:outline w:val="0"/>
      <w:color w:val="0563c1"/>
      <w:u w:val="single" w:color="0563c1"/>
      <w:lang w:val="ru-RU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